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50" w:afterLines="50" w:line="360" w:lineRule="auto"/>
        <w:jc w:val="both"/>
        <w:rPr>
          <w:rFonts w:hAnsi="宋体"/>
          <w:b/>
          <w:color w:val="000000" w:themeColor="text1"/>
          <w:sz w:val="36"/>
        </w:rPr>
      </w:pPr>
      <w:r>
        <w:rPr>
          <w:rFonts w:hAnsi="宋体" w:cstheme="minorBidi"/>
          <w:b/>
          <w:color w:val="000000" w:themeColor="text1"/>
          <w:sz w:val="36"/>
        </w:rPr>
        <w:t>《有色金属冶炼产品编码规则与条码标识》</w:t>
      </w:r>
      <w:r>
        <w:rPr>
          <w:rFonts w:hint="eastAsia" w:hAnsi="宋体" w:cstheme="minorBidi"/>
          <w:b/>
          <w:color w:val="000000" w:themeColor="text1"/>
          <w:sz w:val="36"/>
        </w:rPr>
        <w:t>行业</w:t>
      </w:r>
      <w:r>
        <w:rPr>
          <w:rFonts w:hAnsi="宋体" w:cstheme="minorBidi"/>
          <w:b/>
          <w:color w:val="000000" w:themeColor="text1"/>
          <w:sz w:val="36"/>
        </w:rPr>
        <w:t>标准</w:t>
      </w:r>
    </w:p>
    <w:p>
      <w:pPr>
        <w:pStyle w:val="8"/>
        <w:spacing w:beforeLines="50" w:afterLines="50" w:line="360" w:lineRule="auto"/>
        <w:ind w:firstLine="2349" w:firstLineChars="650"/>
        <w:jc w:val="both"/>
        <w:rPr>
          <w:rFonts w:hAnsi="宋体"/>
          <w:b/>
          <w:color w:val="000000" w:themeColor="text1"/>
          <w:sz w:val="36"/>
        </w:rPr>
      </w:pPr>
      <w:r>
        <w:rPr>
          <w:rFonts w:hint="eastAsia" w:hAnsi="宋体"/>
          <w:b/>
          <w:color w:val="000000" w:themeColor="text1"/>
          <w:sz w:val="36"/>
          <w:lang w:eastAsia="zh-CN"/>
        </w:rPr>
        <w:t>送审</w:t>
      </w:r>
      <w:bookmarkStart w:id="52" w:name="_GoBack"/>
      <w:bookmarkEnd w:id="52"/>
      <w:r>
        <w:rPr>
          <w:rFonts w:hint="eastAsia" w:hAnsi="宋体"/>
          <w:b/>
          <w:color w:val="000000" w:themeColor="text1"/>
          <w:sz w:val="36"/>
        </w:rPr>
        <w:t>稿</w:t>
      </w:r>
      <w:r>
        <w:rPr>
          <w:rFonts w:hAnsi="宋体"/>
          <w:b/>
          <w:color w:val="000000" w:themeColor="text1"/>
          <w:sz w:val="36"/>
        </w:rPr>
        <w:t>-</w:t>
      </w:r>
      <w:r>
        <w:rPr>
          <w:rFonts w:hint="eastAsia" w:hAnsi="宋体"/>
          <w:b/>
          <w:color w:val="000000" w:themeColor="text1"/>
          <w:sz w:val="36"/>
        </w:rPr>
        <w:t>编制说明</w:t>
      </w:r>
    </w:p>
    <w:p>
      <w:pPr>
        <w:pStyle w:val="8"/>
        <w:numPr>
          <w:ilvl w:val="0"/>
          <w:numId w:val="5"/>
        </w:numPr>
        <w:tabs>
          <w:tab w:val="left" w:pos="993"/>
        </w:tabs>
        <w:spacing w:beforeLines="50" w:afterLines="50" w:line="360" w:lineRule="auto"/>
        <w:ind w:left="0" w:firstLine="482" w:firstLineChars="200"/>
        <w:jc w:val="both"/>
        <w:rPr>
          <w:rFonts w:hAnsi="宋体" w:cs="Times New Roman"/>
          <w:b/>
          <w:color w:val="000000" w:themeColor="text1"/>
        </w:rPr>
      </w:pPr>
      <w:r>
        <w:rPr>
          <w:rFonts w:hint="eastAsia" w:hAnsi="宋体"/>
          <w:b/>
          <w:color w:val="000000" w:themeColor="text1"/>
        </w:rPr>
        <w:t>任务来源</w:t>
      </w:r>
      <w:r>
        <w:rPr>
          <w:rFonts w:hAnsi="宋体" w:cs="Times New Roman"/>
          <w:b/>
          <w:bCs/>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本标准依据《工业和信息化部办公厅关于印发2016年第三批行业标准制修订计划的通知（工信厅科[</w:t>
      </w:r>
      <w:r>
        <w:rPr>
          <w:rFonts w:hAnsi="宋体"/>
          <w:color w:val="000000" w:themeColor="text1"/>
        </w:rPr>
        <w:t>2016</w:t>
      </w:r>
      <w:r>
        <w:rPr>
          <w:rFonts w:hint="eastAsia" w:hAnsi="宋体"/>
          <w:color w:val="000000" w:themeColor="text1"/>
        </w:rPr>
        <w:t>]</w:t>
      </w:r>
      <w:r>
        <w:rPr>
          <w:rFonts w:hAnsi="宋体"/>
          <w:color w:val="000000" w:themeColor="text1"/>
        </w:rPr>
        <w:t>152</w:t>
      </w:r>
      <w:r>
        <w:rPr>
          <w:rFonts w:hint="eastAsia" w:hAnsi="宋体"/>
          <w:color w:val="000000" w:themeColor="text1"/>
        </w:rPr>
        <w:t>号）》序号第192项“</w:t>
      </w:r>
      <w:r>
        <w:rPr>
          <w:rFonts w:hAnsi="宋体"/>
          <w:color w:val="000000" w:themeColor="text1"/>
        </w:rPr>
        <w:t>有色金属冶炼产品编码规则与条码标识</w:t>
      </w:r>
      <w:r>
        <w:rPr>
          <w:rFonts w:hint="eastAsia" w:hAnsi="宋体"/>
          <w:color w:val="000000" w:themeColor="text1"/>
        </w:rPr>
        <w:t>”（计划号</w:t>
      </w:r>
      <w:r>
        <w:rPr>
          <w:rFonts w:hAnsi="宋体"/>
          <w:color w:val="000000" w:themeColor="text1"/>
        </w:rPr>
        <w:t xml:space="preserve"> </w:t>
      </w:r>
      <w:r>
        <w:fldChar w:fldCharType="begin"/>
      </w:r>
      <w:r>
        <w:instrText xml:space="preserve"> HYPERLINK "http://219.239.107.155:8080/TaskBook.aspx?id=YSCPZT17272016" </w:instrText>
      </w:r>
      <w:r>
        <w:fldChar w:fldCharType="separate"/>
      </w:r>
      <w:r>
        <w:rPr>
          <w:rFonts w:hAnsi="宋体"/>
          <w:color w:val="000000" w:themeColor="text1"/>
        </w:rPr>
        <w:t>2016-1434T-YS</w:t>
      </w:r>
      <w:r>
        <w:rPr>
          <w:rFonts w:hAnsi="宋体"/>
          <w:color w:val="000000" w:themeColor="text1"/>
        </w:rPr>
        <w:fldChar w:fldCharType="end"/>
      </w:r>
      <w:r>
        <w:rPr>
          <w:rFonts w:hint="eastAsia" w:hAnsi="宋体"/>
          <w:color w:val="000000" w:themeColor="text1"/>
        </w:rPr>
        <w:t>）制定，该标准由</w:t>
      </w:r>
      <w:r>
        <w:fldChar w:fldCharType="begin"/>
      </w:r>
      <w:r>
        <w:instrText xml:space="preserve"> HYPERLINK "http://219.239.107.155:8080/TaskBook.aspx?id=YSCPZT17272016" </w:instrText>
      </w:r>
      <w:r>
        <w:fldChar w:fldCharType="separate"/>
      </w:r>
      <w:r>
        <w:rPr>
          <w:rFonts w:hint="eastAsia" w:hAnsi="宋体"/>
          <w:color w:val="000000" w:themeColor="text1"/>
        </w:rPr>
        <w:t>上海市期货交易所与上海市质量和标准化研究院</w:t>
      </w:r>
      <w:r>
        <w:rPr>
          <w:rFonts w:hint="eastAsia" w:hAnsi="宋体"/>
          <w:color w:val="000000" w:themeColor="text1"/>
        </w:rPr>
        <w:fldChar w:fldCharType="end"/>
      </w:r>
      <w:r>
        <w:rPr>
          <w:rFonts w:hint="eastAsia" w:hAnsi="宋体"/>
          <w:color w:val="000000" w:themeColor="text1"/>
        </w:rPr>
        <w:t>提出，归口</w:t>
      </w:r>
      <w:r>
        <w:rPr>
          <w:rFonts w:hAnsi="宋体"/>
          <w:color w:val="000000" w:themeColor="text1"/>
        </w:rPr>
        <w:t>全国有色金属标准化技术委员会</w:t>
      </w:r>
      <w:r>
        <w:rPr>
          <w:rFonts w:hint="eastAsia" w:hAnsi="宋体"/>
          <w:color w:val="000000" w:themeColor="text1"/>
        </w:rPr>
        <w:t>管理。</w:t>
      </w:r>
      <w:r>
        <w:rPr>
          <w:rFonts w:hAnsi="宋体"/>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目的和意义</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Ansi="宋体"/>
          <w:color w:val="000000" w:themeColor="text1"/>
        </w:rPr>
        <w:t>近年来我国有色金属</w:t>
      </w:r>
      <w:r>
        <w:rPr>
          <w:rFonts w:hint="eastAsia" w:hAnsi="宋体"/>
          <w:color w:val="000000" w:themeColor="text1"/>
        </w:rPr>
        <w:t>行业快速发展，已成为全球最大的生产和消费国，同时有色行业也加强了信息化建设和升级改造，部分有色金属生产企业、仓储物流企业已开始尝试或探索在生产、仓储、运输、贸易等环节运用条码技术。但条码技术的应用基本局限于企业内部，非全产业链、分散化的信息孤岛式运作，特别是有色金属冶炼产品编码规则不统一、条码标识不规范等问题非常突出，给有色金属冶炼产品的高效流通、全程监管、质量追溯等带来了极大不便。</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由于条码技术具有效率高、可靠性高、成本低廉、易于操作、采集信息量大等诸多优点，在全球范围内应用十分普遍，条码技术在有色行业有着十分广阔应用空间和应用前景。目前，国内有色金属冶炼产品统一编码与条码标识行业标准的缺失，阻碍了有色行业条码技术的应用发展。对有色金属冶炼产品统一编码与条码标识的研究势在必行，制订相关行业技术标准迫在眉睫。</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由上海期货交易所牵头，联合上海市质量与标准化研究院、有色冶炼生产企业、期货交割仓库，参照编码与条码标识方面的国家标准，建立一套符合行业发展需求的有色金属冶炼产品编码规则与条码标识行业标准，有利于提高有色行业的标准化和信息化水平、降低管理成本、提高流通效率，促进产品质量追踪追溯机制的建立健全，很好地解决目前物流链上编码规则不统一、码制不规范等实际问题。随着行业标准在产业链中的广泛应用，可以实现有色金属冶炼产品在生产制造、仓储物流、贸易销售等全流程的条码自动识别、信息自动采集，形成质量跟踪追溯的实时大数据，为以产品物流数据为核心的数据开发应用创造条件，促进有色金属行业的市场建设和行业规范发展。</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标准制订的依据</w:t>
      </w:r>
      <w:r>
        <w:rPr>
          <w:rFonts w:hAnsi="宋体"/>
          <w:b/>
          <w:color w:val="000000" w:themeColor="text1"/>
        </w:rPr>
        <w:t xml:space="preserve"> </w:t>
      </w:r>
    </w:p>
    <w:p>
      <w:pPr>
        <w:pStyle w:val="8"/>
        <w:spacing w:beforeLines="50" w:afterLines="50" w:line="360" w:lineRule="auto"/>
        <w:ind w:firstLine="480" w:firstLineChars="200"/>
        <w:jc w:val="both"/>
        <w:rPr>
          <w:rFonts w:hAnsi="宋体" w:cs="Times New Roman"/>
          <w:color w:val="000000" w:themeColor="text1"/>
        </w:rPr>
      </w:pPr>
      <w:r>
        <w:rPr>
          <w:rFonts w:hint="eastAsia" w:hAnsi="宋体"/>
          <w:color w:val="000000" w:themeColor="text1"/>
        </w:rPr>
        <w:t>本标准主要参考</w:t>
      </w:r>
      <w:r>
        <w:rPr>
          <w:rFonts w:hint="eastAsia" w:hAnsi="宋体" w:cs="Times New Roman"/>
          <w:color w:val="000000" w:themeColor="text1"/>
        </w:rPr>
        <w:t>GB/T 7027 信息分类和编码的基本原则与方法、GB/T 14258  信息技术 自动识别与数据采集技术 条码符号印制质量的检验、GB/T 15425  商品条码 128条码、GB/T 16986  商品条码 应用标识符、GB/T 18284  快速响应矩阵码、GB/T 18347  128条码、GB/T 18348  商品条码 条码符号印制质量的检验、GB/T 23704  信息技术  自动化识别及数据采集技术  二维条码符号印制质量的检验、ISO/IEC 16022  信息技术--自动化识别及数据采集技术--数据矩阵条形码符号体系规范</w:t>
      </w:r>
      <w:r>
        <w:rPr>
          <w:rFonts w:hint="eastAsia" w:hAnsi="宋体"/>
          <w:color w:val="000000" w:themeColor="text1"/>
        </w:rPr>
        <w:t>等标准文档制定。</w:t>
      </w:r>
      <w:r>
        <w:rPr>
          <w:rFonts w:hAnsi="宋体" w:cs="Times New Roman"/>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本标准的编制过程</w:t>
      </w:r>
      <w:r>
        <w:rPr>
          <w:rFonts w:hAnsi="宋体"/>
          <w:b/>
          <w:color w:val="000000" w:themeColor="text1"/>
        </w:rPr>
        <w:t xml:space="preserve"> </w:t>
      </w:r>
    </w:p>
    <w:p>
      <w:pPr>
        <w:pStyle w:val="8"/>
        <w:spacing w:line="360" w:lineRule="auto"/>
        <w:ind w:firstLine="480" w:firstLineChars="200"/>
        <w:jc w:val="both"/>
        <w:rPr>
          <w:rFonts w:hAnsi="宋体" w:cs="Times New Roman"/>
          <w:color w:val="000000" w:themeColor="text1"/>
        </w:rPr>
      </w:pPr>
      <w:r>
        <w:rPr>
          <w:rFonts w:hint="eastAsia" w:hAnsi="宋体"/>
          <w:color w:val="000000" w:themeColor="text1"/>
        </w:rPr>
        <w:t>本标准的编制过程主要分为两个阶段，第一阶段由上海期货交易所和上海市质量和标准化研究院牵头，结合自动识别技术应用的实际需要，在部分有色生产企业和期货指定交割仓库中试点应用统一编码和条码标识，同期开展《</w:t>
      </w:r>
      <w:r>
        <w:rPr>
          <w:rFonts w:hAnsi="宋体"/>
          <w:color w:val="000000" w:themeColor="text1"/>
        </w:rPr>
        <w:t>有色金属冶炼产品编码规则与条码标识</w:t>
      </w:r>
      <w:r>
        <w:rPr>
          <w:rFonts w:hint="eastAsia" w:hAnsi="宋体"/>
          <w:color w:val="000000" w:themeColor="text1"/>
        </w:rPr>
        <w:t>》标准的起草和讨论，形成了以上海期货交易所、上海市质量和标准化研究院、有色冶炼生产企业和期货指定交割仓库为核心的标准工作组；第二阶段将根据工业和信息化部的行业标准制修订计划，开展行业应用研究和标准的制定工作，并根据反馈情况对标准草案做进一步完善。</w:t>
      </w:r>
      <w:r>
        <w:rPr>
          <w:rFonts w:hAnsi="宋体"/>
          <w:color w:val="000000" w:themeColor="text1"/>
        </w:rPr>
        <w:t xml:space="preserve"> </w:t>
      </w:r>
    </w:p>
    <w:p>
      <w:pPr>
        <w:pStyle w:val="8"/>
        <w:spacing w:line="360" w:lineRule="auto"/>
        <w:ind w:firstLine="480" w:firstLineChars="200"/>
        <w:jc w:val="both"/>
        <w:rPr>
          <w:rFonts w:hAnsi="宋体"/>
          <w:color w:val="000000" w:themeColor="text1"/>
        </w:rPr>
      </w:pPr>
      <w:r>
        <w:rPr>
          <w:rFonts w:hint="eastAsia" w:hAnsi="宋体" w:cs="Times New Roman"/>
          <w:color w:val="000000" w:themeColor="text1"/>
        </w:rPr>
        <w:t>自2013年起，上海期货交易所与上海市质量和标准化研究院联合7家骨干期货交割仓库和部分龙头有色生产企业，以2期项目试点的形式，推动条码等自动识别技术的试点和深入应用，将统一的有色产品编码规则和条码标识试点应用到生产、仓储等基本作业流程；2016年</w:t>
      </w:r>
      <w:r>
        <w:rPr>
          <w:rFonts w:hint="eastAsia" w:hAnsi="宋体"/>
          <w:color w:val="000000" w:themeColor="text1"/>
        </w:rPr>
        <w:t>4月27日、6月21日，在昆明和郑州分别召开了两次大型的编码应用行业研讨会；2016年7月，开展由30多家大型骨干有色企业参与的网上在线调研，全面听取有色行业编码和条码标识的应用情况和完善意见，初步形成了26位的统一行业编码。期间根据有色行业的应用趋势，工作组对有色冶炼产品应用直接标识技术（DPM）进行广泛测试，在交割仓库中对铜、铝、铅、锌、锡、镍六个品种进行了电磁顶冲和激光刻蚀二维码测试，取得较好测试效果。</w:t>
      </w:r>
    </w:p>
    <w:p>
      <w:pPr>
        <w:pStyle w:val="8"/>
        <w:spacing w:line="360" w:lineRule="auto"/>
        <w:ind w:firstLine="480" w:firstLineChars="200"/>
        <w:jc w:val="both"/>
        <w:rPr>
          <w:rFonts w:hAnsi="宋体"/>
          <w:color w:val="000000" w:themeColor="text1"/>
        </w:rPr>
      </w:pPr>
      <w:r>
        <w:rPr>
          <w:rFonts w:hAnsi="宋体" w:cs="Times New Roman"/>
          <w:color w:val="000000" w:themeColor="text1"/>
        </w:rPr>
        <w:t>201</w:t>
      </w:r>
      <w:r>
        <w:rPr>
          <w:rFonts w:hint="eastAsia" w:hAnsi="宋体" w:cs="Times New Roman"/>
          <w:color w:val="000000" w:themeColor="text1"/>
        </w:rPr>
        <w:t>6</w:t>
      </w:r>
      <w:r>
        <w:rPr>
          <w:rFonts w:hint="eastAsia" w:hAnsi="宋体"/>
          <w:color w:val="000000" w:themeColor="text1"/>
        </w:rPr>
        <w:t>年</w:t>
      </w:r>
      <w:r>
        <w:rPr>
          <w:rFonts w:hint="eastAsia" w:hAnsi="宋体" w:cs="Times New Roman"/>
          <w:color w:val="000000" w:themeColor="text1"/>
        </w:rPr>
        <w:t>9</w:t>
      </w:r>
      <w:r>
        <w:rPr>
          <w:rFonts w:hint="eastAsia" w:hAnsi="宋体"/>
          <w:color w:val="000000" w:themeColor="text1"/>
        </w:rPr>
        <w:t>月26-27日，在上海召开了</w:t>
      </w:r>
      <w:r>
        <w:rPr>
          <w:rFonts w:hAnsi="宋体"/>
          <w:color w:val="000000" w:themeColor="text1"/>
        </w:rPr>
        <w:t>有色金属冶炼产品编码规则与条码标识</w:t>
      </w:r>
      <w:r>
        <w:rPr>
          <w:rFonts w:hint="eastAsia" w:hAnsi="宋体"/>
          <w:color w:val="000000" w:themeColor="text1"/>
        </w:rPr>
        <w:t>行业标准草案讨论会。经过反复讨论，标准中涉及到的铜、铝、铅、锌、锡、镍六个行业的生产企业及交割仓库达成共识，对原26位统一行业编码进行进一步完善，对相关编码进行了合理取舍，以更通用的产品唯一生产序号代码（7位）作为各行业的结合点，最终形成了</w:t>
      </w:r>
      <w:r>
        <w:rPr>
          <w:rFonts w:hAnsi="宋体"/>
          <w:color w:val="000000" w:themeColor="text1"/>
        </w:rPr>
        <w:t>25</w:t>
      </w:r>
      <w:r>
        <w:rPr>
          <w:rFonts w:hint="eastAsia" w:hAnsi="宋体"/>
          <w:color w:val="000000" w:themeColor="text1"/>
        </w:rPr>
        <w:t>位的有色冶炼产品统一行业编码。同时考虑到行业全球性发展的前瞻性需要，结合有色产品进出口实际应用，在有色冶炼产品编码规则中增加了通用GS1编码代码结构，使标准草案更具通用性和适用性。</w:t>
      </w:r>
    </w:p>
    <w:p>
      <w:pPr>
        <w:pStyle w:val="8"/>
        <w:spacing w:line="360" w:lineRule="auto"/>
        <w:ind w:firstLine="480" w:firstLineChars="200"/>
        <w:jc w:val="both"/>
        <w:rPr>
          <w:rFonts w:hAnsi="宋体"/>
          <w:color w:val="000000" w:themeColor="text1"/>
        </w:rPr>
      </w:pPr>
      <w:r>
        <w:rPr>
          <w:rFonts w:hint="eastAsia" w:hAnsi="宋体"/>
          <w:color w:val="000000" w:themeColor="text1"/>
        </w:rPr>
        <w:t>2016年10月工业和信息化部下达行业标准制定计划后，标准制定组在前期研究和讨论的基础上，进一步征求部分国内大型有色生产企业的应用意见，广泛征求物品编码自动识别技术应用领域和有色冶炼行业的资深专家对标准草案的意见。</w:t>
      </w:r>
    </w:p>
    <w:p>
      <w:pPr>
        <w:pStyle w:val="8"/>
        <w:spacing w:line="360" w:lineRule="auto"/>
        <w:ind w:firstLine="480" w:firstLineChars="200"/>
        <w:jc w:val="both"/>
        <w:rPr>
          <w:rFonts w:hAnsi="宋体"/>
          <w:b/>
          <w:color w:val="000000" w:themeColor="text1"/>
        </w:rPr>
      </w:pPr>
      <w:r>
        <w:rPr>
          <w:rFonts w:hint="eastAsia" w:hAnsi="宋体"/>
          <w:color w:val="000000" w:themeColor="text1"/>
        </w:rPr>
        <w:t>五、</w:t>
      </w:r>
      <w:r>
        <w:rPr>
          <w:rFonts w:hAnsi="宋体"/>
          <w:b/>
          <w:color w:val="000000" w:themeColor="text1"/>
        </w:rPr>
        <w:t xml:space="preserve">标准编制原则和主要内容 </w:t>
      </w:r>
    </w:p>
    <w:p>
      <w:pPr>
        <w:pStyle w:val="8"/>
        <w:spacing w:beforeLines="50" w:afterLines="50" w:line="360" w:lineRule="auto"/>
        <w:ind w:firstLine="480" w:firstLineChars="200"/>
        <w:jc w:val="both"/>
        <w:rPr>
          <w:rFonts w:hAnsi="宋体"/>
          <w:color w:val="000000" w:themeColor="text1"/>
        </w:rPr>
      </w:pPr>
      <w:r>
        <w:rPr>
          <w:rFonts w:hAnsi="宋体"/>
          <w:color w:val="000000" w:themeColor="text1"/>
        </w:rPr>
        <w:t>1</w:t>
      </w:r>
      <w:r>
        <w:rPr>
          <w:rFonts w:hint="eastAsia" w:hAnsi="宋体"/>
          <w:color w:val="000000" w:themeColor="text1"/>
        </w:rPr>
        <w:t>、</w:t>
      </w:r>
      <w:r>
        <w:rPr>
          <w:rFonts w:hAnsi="宋体"/>
          <w:color w:val="000000" w:themeColor="text1"/>
        </w:rPr>
        <w:t xml:space="preserve"> </w:t>
      </w:r>
      <w:r>
        <w:rPr>
          <w:rFonts w:hint="eastAsia" w:hAnsi="宋体"/>
          <w:color w:val="000000" w:themeColor="text1"/>
        </w:rPr>
        <w:t>编制原则</w:t>
      </w:r>
      <w:r>
        <w:rPr>
          <w:rFonts w:hAnsi="宋体"/>
          <w:color w:val="000000" w:themeColor="text1"/>
        </w:rPr>
        <w:t xml:space="preserve"> </w:t>
      </w:r>
    </w:p>
    <w:p>
      <w:pPr>
        <w:pStyle w:val="8"/>
        <w:tabs>
          <w:tab w:val="left" w:pos="851"/>
        </w:tabs>
        <w:spacing w:beforeLines="50" w:afterLines="50" w:line="360" w:lineRule="auto"/>
        <w:ind w:firstLine="480" w:firstLineChars="200"/>
        <w:jc w:val="both"/>
        <w:rPr>
          <w:rFonts w:hAnsi="宋体"/>
          <w:color w:val="000000" w:themeColor="text1"/>
        </w:rPr>
      </w:pPr>
      <w:r>
        <w:rPr>
          <w:rFonts w:hint="eastAsia" w:hAnsi="宋体"/>
          <w:color w:val="000000" w:themeColor="text1"/>
        </w:rPr>
        <w:t>通过对有色冶炼产品进行统一的编码和条码标识，降低仓储物流管理成本、提高流通效率，促进有色冶炼产品形成完整的质量追踪追溯信息；立足于国内有色冶炼产品的编码和条码标识的现状，参考国内外先进经验以及相关企业标准、行业标准；有色六大行业的冶炼生产企业、期货交割仓库参与标准草案的讨论制定，特大型有色冶炼企业、国内大型仓储物流企业、标准化管理和研究部门、期货交易行业专家共同参与标准的起草和讨论。</w:t>
      </w:r>
      <w:r>
        <w:rPr>
          <w:rFonts w:hAnsi="宋体"/>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Ansi="宋体"/>
          <w:color w:val="000000" w:themeColor="text1"/>
        </w:rPr>
        <w:t>2</w:t>
      </w:r>
      <w:r>
        <w:rPr>
          <w:rFonts w:hint="eastAsia" w:hAnsi="宋体"/>
          <w:color w:val="000000" w:themeColor="text1"/>
        </w:rPr>
        <w:t>、主要内容</w:t>
      </w:r>
      <w:r>
        <w:rPr>
          <w:rFonts w:hAnsi="宋体"/>
          <w:color w:val="000000" w:themeColor="text1"/>
        </w:rPr>
        <w:t xml:space="preserve"> </w:t>
      </w:r>
    </w:p>
    <w:p>
      <w:pPr>
        <w:pStyle w:val="13"/>
        <w:numPr>
          <w:ilvl w:val="0"/>
          <w:numId w:val="6"/>
        </w:numPr>
        <w:spacing w:before="120" w:after="120" w:line="360" w:lineRule="auto"/>
        <w:jc w:val="both"/>
        <w:rPr>
          <w:rFonts w:ascii="宋体" w:hAnsi="宋体" w:eastAsia="宋体"/>
          <w:color w:val="000000" w:themeColor="text1"/>
          <w:sz w:val="24"/>
          <w:szCs w:val="24"/>
        </w:rPr>
      </w:pPr>
      <w:bookmarkStart w:id="0" w:name="_Toc444171777"/>
      <w:bookmarkStart w:id="1" w:name="_Toc444172143"/>
      <w:bookmarkStart w:id="2" w:name="_Toc444172251"/>
      <w:bookmarkStart w:id="3" w:name="_Toc444601610"/>
      <w:bookmarkStart w:id="4" w:name="_Toc444601757"/>
      <w:bookmarkStart w:id="5" w:name="_Toc444601978"/>
      <w:bookmarkStart w:id="6" w:name="_Toc444601829"/>
      <w:bookmarkStart w:id="7" w:name="_Toc444601897"/>
      <w:bookmarkStart w:id="8" w:name="_Toc453140503"/>
      <w:bookmarkStart w:id="9" w:name="_Toc453140547"/>
      <w:bookmarkStart w:id="10" w:name="_Toc459805629"/>
      <w:bookmarkStart w:id="11" w:name="_Toc453491391"/>
      <w:bookmarkStart w:id="12" w:name="_Toc458433248"/>
      <w:bookmarkStart w:id="13" w:name="_Toc458433356"/>
      <w:bookmarkStart w:id="14" w:name="_Toc461546246"/>
      <w:bookmarkStart w:id="15" w:name="_Toc462818388"/>
      <w:bookmarkStart w:id="16" w:name="_Toc457819218"/>
      <w:bookmarkStart w:id="17" w:name="_Toc459106143"/>
      <w:bookmarkStart w:id="18" w:name="_Toc457819511"/>
      <w:bookmarkStart w:id="19" w:name="_Toc459805598"/>
      <w:bookmarkStart w:id="20" w:name="_Toc457819360"/>
      <w:bookmarkStart w:id="21" w:name="_Toc453491466"/>
      <w:r>
        <w:rPr>
          <w:rFonts w:hint="eastAsia" w:ascii="宋体" w:hAnsi="宋体" w:eastAsia="宋体"/>
          <w:color w:val="000000" w:themeColor="text1"/>
          <w:sz w:val="24"/>
          <w:szCs w:val="24"/>
        </w:rPr>
        <w:t>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规定了有色金属冶炼产品编码规则与条码标识的编码基本原则和代码结构，条码符号的表示方法。本标准适用于阴极铜、重熔用铝锭、锌锭、铅锭、锡锭、电解镍的统一编码与条码标识的编制，用于有色金属冶炼产品的信息采集及数据交换。</w:t>
      </w:r>
    </w:p>
    <w:p>
      <w:pPr>
        <w:pStyle w:val="13"/>
        <w:numPr>
          <w:ilvl w:val="0"/>
          <w:numId w:val="6"/>
        </w:numPr>
        <w:spacing w:before="120" w:after="120"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术语和定义</w:t>
      </w:r>
    </w:p>
    <w:p>
      <w:pPr>
        <w:pStyle w:val="11"/>
        <w:rPr>
          <w:color w:val="000000" w:themeColor="text1"/>
        </w:rPr>
      </w:pPr>
      <w:r>
        <w:rPr>
          <w:rFonts w:hint="eastAsia"/>
          <w:color w:val="000000" w:themeColor="text1"/>
        </w:rPr>
        <w:t>本标准中的</w:t>
      </w:r>
      <w:r>
        <w:rPr>
          <w:rFonts w:hint="eastAsia"/>
          <w:color w:val="000000" w:themeColor="text1"/>
        </w:rPr>
        <w:tab/>
      </w:r>
      <w:r>
        <w:rPr>
          <w:rFonts w:hint="eastAsia"/>
          <w:color w:val="000000" w:themeColor="text1"/>
        </w:rPr>
        <w:t>术语和定义包括：企业代码、产品分类、产品品级、产品唯一生产序号、本体标识、应用标识符。</w:t>
      </w:r>
    </w:p>
    <w:p>
      <w:pPr>
        <w:pStyle w:val="13"/>
        <w:numPr>
          <w:ilvl w:val="0"/>
          <w:numId w:val="6"/>
        </w:numPr>
        <w:spacing w:before="120" w:after="120"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编码</w:t>
      </w:r>
    </w:p>
    <w:p>
      <w:pPr>
        <w:pStyle w:val="8"/>
        <w:spacing w:beforeLines="50" w:afterLines="50" w:line="360" w:lineRule="auto"/>
        <w:ind w:firstLine="480" w:firstLineChars="200"/>
        <w:jc w:val="both"/>
        <w:rPr>
          <w:rFonts w:hAnsi="宋体"/>
          <w:color w:val="000000" w:themeColor="text1"/>
        </w:rPr>
      </w:pPr>
      <w:bookmarkStart w:id="22" w:name="_Toc404698688"/>
      <w:bookmarkStart w:id="23" w:name="_Toc444172169"/>
      <w:bookmarkStart w:id="24" w:name="_Toc444172277"/>
      <w:bookmarkStart w:id="25" w:name="_Toc457819386"/>
      <w:bookmarkStart w:id="26" w:name="_Toc457819244"/>
      <w:bookmarkStart w:id="27" w:name="_Toc457819537"/>
      <w:bookmarkStart w:id="28" w:name="_Toc444602004"/>
      <w:bookmarkStart w:id="29" w:name="_Toc444601923"/>
      <w:bookmarkStart w:id="30" w:name="_Toc444601855"/>
      <w:bookmarkStart w:id="31" w:name="_Toc444601636"/>
      <w:bookmarkStart w:id="32" w:name="_Toc444601783"/>
      <w:bookmarkStart w:id="33" w:name="_Toc453140529"/>
      <w:bookmarkStart w:id="34" w:name="_Toc458433274"/>
      <w:bookmarkStart w:id="35" w:name="_Toc459106169"/>
      <w:bookmarkStart w:id="36" w:name="_Toc461546272"/>
      <w:bookmarkStart w:id="37" w:name="_Toc459805655"/>
      <w:bookmarkStart w:id="38" w:name="_Toc458433382"/>
      <w:bookmarkStart w:id="39" w:name="_Toc462818404"/>
      <w:bookmarkStart w:id="40" w:name="_Toc453491497"/>
      <w:bookmarkStart w:id="41" w:name="_Toc453140573"/>
      <w:bookmarkStart w:id="42" w:name="_Toc453491422"/>
      <w:r>
        <w:rPr>
          <w:rFonts w:hint="eastAsia" w:hAnsi="宋体"/>
          <w:color w:val="000000" w:themeColor="text1"/>
        </w:rPr>
        <w:t>编码的代码结构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hAnsi="宋体"/>
          <w:color w:val="000000" w:themeColor="text1"/>
        </w:rPr>
        <w:t>：有色金属冶炼产品编码规则分为统一行业编码和通用GS1编码两种代码结构，企业可以根据实际的应用情况选择适合的代码结构。</w:t>
      </w:r>
      <w:bookmarkStart w:id="43" w:name="_Toc444601784"/>
      <w:bookmarkStart w:id="44" w:name="_Toc444601637"/>
      <w:bookmarkStart w:id="45" w:name="_Toc444172170"/>
      <w:bookmarkStart w:id="46" w:name="_Toc444601856"/>
      <w:bookmarkStart w:id="47" w:name="_Toc444601924"/>
      <w:bookmarkStart w:id="48" w:name="_Toc444602005"/>
      <w:bookmarkStart w:id="49" w:name="_Toc453140530"/>
      <w:bookmarkStart w:id="50" w:name="_Toc461546273"/>
      <w:r>
        <w:rPr>
          <w:rFonts w:hint="eastAsia" w:hAnsi="宋体"/>
          <w:color w:val="000000" w:themeColor="text1"/>
        </w:rPr>
        <w:t>统一行业编码</w:t>
      </w:r>
      <w:bookmarkEnd w:id="43"/>
      <w:bookmarkEnd w:id="44"/>
      <w:bookmarkEnd w:id="45"/>
      <w:bookmarkEnd w:id="46"/>
      <w:bookmarkEnd w:id="47"/>
      <w:bookmarkEnd w:id="48"/>
      <w:bookmarkEnd w:id="49"/>
      <w:bookmarkEnd w:id="50"/>
      <w:r>
        <w:rPr>
          <w:rFonts w:hint="eastAsia" w:hAnsi="宋体"/>
          <w:color w:val="000000" w:themeColor="text1"/>
        </w:rPr>
        <w:t>：企业代码（3位）、产品分类代码（2位）、产品品级代码（2位）、生产日期代码（6位）、产品唯一生产序号代码（7位）、捆净重代码（5位）6个数据项共25位数字代码组成。</w:t>
      </w:r>
      <w:bookmarkStart w:id="51" w:name="_Toc461546274"/>
      <w:r>
        <w:rPr>
          <w:rFonts w:hint="eastAsia" w:hAnsi="宋体"/>
          <w:color w:val="000000" w:themeColor="text1"/>
        </w:rPr>
        <w:t>通用GS1编码</w:t>
      </w:r>
      <w:bookmarkEnd w:id="51"/>
      <w:r>
        <w:rPr>
          <w:rFonts w:hint="eastAsia" w:hAnsi="宋体"/>
          <w:color w:val="000000" w:themeColor="text1"/>
        </w:rPr>
        <w:t>：由基本数据和扩展数据组成，扩展数据包括常用扩展数据和其他扩展数据。基本数据是由全球贸易项目代码GTIN和有色金属冶炼产品的批号或序列号组成，其中应用标识符01为必选，应用标识符10和21至少选择一项。常用扩展数据为可选项，不可单独使用，需要与基本数据配合使用。</w:t>
      </w:r>
      <w:r>
        <w:rPr>
          <w:rFonts w:hAnsi="宋体"/>
          <w:color w:val="000000" w:themeColor="text1"/>
        </w:rPr>
        <w:t>其他扩展数据结构要素为可选项，不可单独使用，需要与基本数据配合使用，可根据实际情况增减数据结构要素。</w:t>
      </w:r>
    </w:p>
    <w:p>
      <w:pPr>
        <w:pStyle w:val="13"/>
        <w:numPr>
          <w:ilvl w:val="0"/>
          <w:numId w:val="6"/>
        </w:numPr>
        <w:spacing w:before="120" w:after="120"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条码符号表示</w:t>
      </w:r>
    </w:p>
    <w:p>
      <w:pPr>
        <w:pStyle w:val="8"/>
        <w:spacing w:beforeLines="50" w:afterLines="50" w:line="360" w:lineRule="auto"/>
        <w:ind w:firstLine="480" w:firstLineChars="200"/>
        <w:jc w:val="both"/>
        <w:rPr>
          <w:rFonts w:hAnsi="宋体" w:cs="Times New Roman"/>
          <w:color w:val="000000" w:themeColor="text1"/>
        </w:rPr>
      </w:pPr>
      <w:r>
        <w:rPr>
          <w:rFonts w:hint="eastAsia" w:hAnsi="宋体" w:cs="Times New Roman"/>
          <w:color w:val="000000" w:themeColor="text1"/>
        </w:rPr>
        <w:t>对于有色冶炼产品的条码符号的符号类型、符号质量、符号载体、符号放置位置提出了具体的要求。</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预期达到的社会效益、对产业发展的作用等情况</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目前，我国的有色金属冶炼产品统一编码与条码标识尚没有专门的国家标准或行业标准，现行商品条码相关的系列国家标准中基本是条码通用编码规则、符号质量要求等方面做出的基本要求，并未涉及有色金属冶炼产品的统一编码。国外有色行业的产品统一编码和条码标识也未查询到专门的技术标准，本标准的制定和应用对于促进有色金属行业的市场建设和行业规范发展具有重要意义。</w:t>
      </w:r>
      <w:r>
        <w:rPr>
          <w:rFonts w:hAnsi="宋体"/>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采用国际标准和国外先进标准情况，与国际、国外同类标准水平的对比情况，国内外关键指标对比分析或与测试的国外样品、样机的相关数据对比情况；</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本标准在制定过程中参考了部分条码相关的国际标准和国外先进标准。</w:t>
      </w:r>
      <w:r>
        <w:rPr>
          <w:rFonts w:hAnsi="宋体"/>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在标准体系中的位置，与现行相关法律、法规、规章及标准，特别是强制性标准的协调性；</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制定过程中，参考了现有的有色冶炼产品、条码及编码等相关国家标准内容，与现行的相关法律、法规、规章及标准保持协调一致。本标准制定完成后将对有色冶炼产品的多项系列国家标准起到协调一致的支撑作用，推动相关标准的落地实施。</w:t>
      </w:r>
      <w:r>
        <w:rPr>
          <w:rFonts w:hAnsi="宋体"/>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重大分歧意见的处理经过和依据</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无重大的分歧意见。</w:t>
      </w:r>
      <w:r>
        <w:rPr>
          <w:rFonts w:hAnsi="宋体"/>
          <w:color w:val="000000" w:themeColor="text1"/>
        </w:rPr>
        <w:t xml:space="preserve"> </w:t>
      </w:r>
    </w:p>
    <w:p>
      <w:pPr>
        <w:pStyle w:val="8"/>
        <w:numPr>
          <w:ilvl w:val="0"/>
          <w:numId w:val="5"/>
        </w:numPr>
        <w:tabs>
          <w:tab w:val="left" w:pos="993"/>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标准性质的建议说明</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本标准可作为有色行业的推荐性行业标准，并可作为有色现货贸易、期货监管与交割等管理的引用标准。</w:t>
      </w:r>
      <w:r>
        <w:rPr>
          <w:rFonts w:hAnsi="宋体"/>
          <w:color w:val="000000" w:themeColor="text1"/>
        </w:rPr>
        <w:t xml:space="preserve"> </w:t>
      </w:r>
    </w:p>
    <w:p>
      <w:pPr>
        <w:pStyle w:val="8"/>
        <w:numPr>
          <w:ilvl w:val="0"/>
          <w:numId w:val="5"/>
        </w:numPr>
        <w:tabs>
          <w:tab w:val="left" w:pos="1134"/>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贯彻标准的要求和措施建议</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本标准对于推动有色冶炼生产企业信息化水平提升、期货交割仓库的标准化作业流程、期货交易交割数据标准化等工作具有重要支撑作用，建议有色冶炼生产企业、期货指定交割仓库、期货交易所等全面深入应用。</w:t>
      </w:r>
      <w:r>
        <w:rPr>
          <w:rFonts w:hAnsi="宋体"/>
          <w:color w:val="000000" w:themeColor="text1"/>
        </w:rPr>
        <w:t xml:space="preserve"> </w:t>
      </w:r>
    </w:p>
    <w:p>
      <w:pPr>
        <w:pStyle w:val="8"/>
        <w:numPr>
          <w:ilvl w:val="0"/>
          <w:numId w:val="5"/>
        </w:numPr>
        <w:tabs>
          <w:tab w:val="left" w:pos="1134"/>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废止现行相关标准的建议</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无。</w:t>
      </w:r>
      <w:r>
        <w:rPr>
          <w:rFonts w:hAnsi="宋体"/>
          <w:color w:val="000000" w:themeColor="text1"/>
        </w:rPr>
        <w:t xml:space="preserve"> </w:t>
      </w:r>
    </w:p>
    <w:p>
      <w:pPr>
        <w:pStyle w:val="8"/>
        <w:numPr>
          <w:ilvl w:val="0"/>
          <w:numId w:val="5"/>
        </w:numPr>
        <w:tabs>
          <w:tab w:val="left" w:pos="1134"/>
        </w:tabs>
        <w:spacing w:beforeLines="50" w:afterLines="50" w:line="360" w:lineRule="auto"/>
        <w:ind w:left="0" w:firstLine="482" w:firstLineChars="200"/>
        <w:jc w:val="both"/>
        <w:rPr>
          <w:rFonts w:hAnsi="宋体"/>
          <w:b/>
          <w:color w:val="000000" w:themeColor="text1"/>
        </w:rPr>
      </w:pPr>
      <w:r>
        <w:rPr>
          <w:rFonts w:hint="eastAsia" w:hAnsi="宋体"/>
          <w:b/>
          <w:color w:val="000000" w:themeColor="text1"/>
        </w:rPr>
        <w:t>其他应予说明的事项</w:t>
      </w:r>
      <w:r>
        <w:rPr>
          <w:rFonts w:hAnsi="宋体"/>
          <w:b/>
          <w:color w:val="000000" w:themeColor="text1"/>
        </w:rPr>
        <w:t xml:space="preserve"> </w:t>
      </w:r>
    </w:p>
    <w:p>
      <w:pPr>
        <w:pStyle w:val="8"/>
        <w:spacing w:beforeLines="50" w:afterLines="50" w:line="360" w:lineRule="auto"/>
        <w:ind w:firstLine="480" w:firstLineChars="200"/>
        <w:jc w:val="both"/>
        <w:rPr>
          <w:rFonts w:hAnsi="宋体"/>
          <w:color w:val="000000" w:themeColor="text1"/>
        </w:rPr>
      </w:pPr>
      <w:r>
        <w:rPr>
          <w:rFonts w:hint="eastAsia" w:hAnsi="宋体"/>
          <w:color w:val="000000" w:themeColor="text1"/>
        </w:rPr>
        <w:t>无。</w:t>
      </w:r>
      <w:r>
        <w:rPr>
          <w:rFonts w:hAnsi="宋体"/>
          <w:color w:val="000000" w:themeColor="text1"/>
        </w:rPr>
        <w:t xml:space="preserve"> </w:t>
      </w:r>
    </w:p>
    <w:p>
      <w:pPr>
        <w:pStyle w:val="8"/>
        <w:spacing w:beforeLines="50" w:afterLines="50" w:line="360" w:lineRule="auto"/>
        <w:jc w:val="right"/>
        <w:rPr>
          <w:rFonts w:hAnsi="宋体" w:cstheme="minorBidi"/>
          <w:color w:val="000000" w:themeColor="text1"/>
        </w:rPr>
      </w:pPr>
      <w:r>
        <w:rPr>
          <w:rFonts w:hAnsi="宋体" w:cstheme="minorBidi"/>
          <w:color w:val="000000" w:themeColor="text1"/>
        </w:rPr>
        <w:t>《有色金属冶炼产品编码规则与条码标识》</w:t>
      </w:r>
      <w:r>
        <w:rPr>
          <w:rFonts w:hint="eastAsia" w:hAnsi="宋体" w:cstheme="minorBidi"/>
          <w:color w:val="000000" w:themeColor="text1"/>
        </w:rPr>
        <w:t>行业</w:t>
      </w:r>
      <w:r>
        <w:rPr>
          <w:rFonts w:hAnsi="宋体" w:cstheme="minorBidi"/>
          <w:color w:val="000000" w:themeColor="text1"/>
        </w:rPr>
        <w:t>标准</w:t>
      </w:r>
      <w:r>
        <w:rPr>
          <w:rFonts w:hint="eastAsia" w:hAnsi="宋体" w:cstheme="minorBidi"/>
          <w:color w:val="000000" w:themeColor="text1"/>
        </w:rPr>
        <w:t>工作组</w:t>
      </w:r>
    </w:p>
    <w:p>
      <w:pPr>
        <w:pStyle w:val="8"/>
        <w:spacing w:beforeLines="50" w:afterLines="50" w:line="360" w:lineRule="auto"/>
        <w:jc w:val="right"/>
        <w:rPr>
          <w:rFonts w:hAnsi="宋体" w:cs="Times New Roman"/>
          <w:color w:val="000000" w:themeColor="text1"/>
        </w:rPr>
      </w:pPr>
      <w:r>
        <w:rPr>
          <w:rFonts w:hint="eastAsia" w:hAnsi="宋体" w:cstheme="minorBidi"/>
          <w:color w:val="000000" w:themeColor="text1"/>
        </w:rPr>
        <w:t>2016年12月</w:t>
      </w:r>
    </w:p>
    <w:sectPr>
      <w:type w:val="continuous"/>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FD25959"/>
    <w:multiLevelType w:val="multilevel"/>
    <w:tmpl w:val="2FD25959"/>
    <w:lvl w:ilvl="0" w:tentative="0">
      <w:start w:val="1"/>
      <w:numFmt w:val="decimal"/>
      <w:lvlText w:val="%1）"/>
      <w:lvlJc w:val="left"/>
      <w:pPr>
        <w:ind w:left="900" w:hanging="420"/>
      </w:pPr>
      <w:rPr>
        <w:rFonts w:hint="eastAsia" w:asciiTheme="minorEastAsia" w:hAnsiTheme="minorEastAsia" w:eastAsiaTheme="minorEastAsia"/>
        <w:b w:val="0"/>
        <w:i w:val="0"/>
        <w:caps w:val="0"/>
        <w:strike w:val="0"/>
        <w:dstrike w:val="0"/>
        <w:shadow w:val="0"/>
        <w:emboss w:val="0"/>
        <w:imprint w:val="0"/>
        <w:vanish w:val="0"/>
        <w:sz w:val="24"/>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9BB0870"/>
    <w:multiLevelType w:val="multilevel"/>
    <w:tmpl w:val="39BB0870"/>
    <w:lvl w:ilvl="0" w:tentative="0">
      <w:start w:val="1"/>
      <w:numFmt w:val="chineseCountingThousand"/>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260FA"/>
    <w:multiLevelType w:val="multilevel"/>
    <w:tmpl w:val="646260FA"/>
    <w:lvl w:ilvl="0" w:tentative="0">
      <w:start w:val="1"/>
      <w:numFmt w:val="decimal"/>
      <w:pStyle w:val="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tentative="0">
      <w:start w:val="1"/>
      <w:numFmt w:val="none"/>
      <w:pStyle w:val="2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77AA10E2"/>
    <w:multiLevelType w:val="multilevel"/>
    <w:tmpl w:val="77AA10E2"/>
    <w:lvl w:ilvl="0" w:tentative="0">
      <w:start w:val="1"/>
      <w:numFmt w:val="decimal"/>
      <w:pStyle w:val="19"/>
      <w:suff w:val="nothing"/>
      <w:lvlText w:val="注%1："/>
      <w:lvlJc w:val="left"/>
      <w:pPr>
        <w:ind w:left="448" w:hanging="448"/>
      </w:pPr>
      <w:rPr>
        <w:rFonts w:ascii="黑体" w:hAnsi="黑体" w:eastAsia="黑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81332"/>
    <w:rsid w:val="000856D7"/>
    <w:rsid w:val="0011009B"/>
    <w:rsid w:val="002709E8"/>
    <w:rsid w:val="00275640"/>
    <w:rsid w:val="002756CA"/>
    <w:rsid w:val="00281332"/>
    <w:rsid w:val="00286339"/>
    <w:rsid w:val="002A6F89"/>
    <w:rsid w:val="002C50D6"/>
    <w:rsid w:val="002D2DC3"/>
    <w:rsid w:val="002E322A"/>
    <w:rsid w:val="002E5978"/>
    <w:rsid w:val="002F30F2"/>
    <w:rsid w:val="003651FC"/>
    <w:rsid w:val="00482FDA"/>
    <w:rsid w:val="004A4513"/>
    <w:rsid w:val="004D234D"/>
    <w:rsid w:val="0059416A"/>
    <w:rsid w:val="00594845"/>
    <w:rsid w:val="005F658E"/>
    <w:rsid w:val="00676F33"/>
    <w:rsid w:val="00685F88"/>
    <w:rsid w:val="00711F42"/>
    <w:rsid w:val="00773003"/>
    <w:rsid w:val="0079060E"/>
    <w:rsid w:val="007911C9"/>
    <w:rsid w:val="007A5587"/>
    <w:rsid w:val="007C39D5"/>
    <w:rsid w:val="008B0DC6"/>
    <w:rsid w:val="009064B8"/>
    <w:rsid w:val="00916068"/>
    <w:rsid w:val="009654FB"/>
    <w:rsid w:val="009B0B74"/>
    <w:rsid w:val="009E69DF"/>
    <w:rsid w:val="00A2778C"/>
    <w:rsid w:val="00A4433D"/>
    <w:rsid w:val="00AC269E"/>
    <w:rsid w:val="00AD7183"/>
    <w:rsid w:val="00AD7AE9"/>
    <w:rsid w:val="00AE5E22"/>
    <w:rsid w:val="00BC61CD"/>
    <w:rsid w:val="00BF5F18"/>
    <w:rsid w:val="00C677BC"/>
    <w:rsid w:val="00CA23B7"/>
    <w:rsid w:val="00CE2CAD"/>
    <w:rsid w:val="00D03418"/>
    <w:rsid w:val="00D95384"/>
    <w:rsid w:val="00E24571"/>
    <w:rsid w:val="00E80BDB"/>
    <w:rsid w:val="00F74A53"/>
    <w:rsid w:val="00FA5722"/>
    <w:rsid w:val="00FD5C4A"/>
    <w:rsid w:val="4EC914DB"/>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0"/>
    <w:pPr>
      <w:keepNext/>
      <w:jc w:val="left"/>
      <w:outlineLvl w:val="0"/>
    </w:pPr>
    <w:rPr>
      <w:sz w:val="28"/>
      <w:szCs w:val="24"/>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paragraph" w:customStyle="1" w:styleId="8">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段"/>
    <w:link w:val="12"/>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basedOn w:val="5"/>
    <w:link w:val="11"/>
    <w:uiPriority w:val="0"/>
    <w:rPr>
      <w:rFonts w:ascii="宋体" w:hAnsi="Times New Roman" w:eastAsia="宋体" w:cs="Times New Roman"/>
      <w:kern w:val="0"/>
      <w:szCs w:val="20"/>
    </w:rPr>
  </w:style>
  <w:style w:type="paragraph" w:customStyle="1" w:styleId="13">
    <w:name w:val="一级条标题"/>
    <w:next w:val="11"/>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4">
    <w:name w:val="章标题"/>
    <w:next w:val="1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5">
    <w:name w:val="二级条标题"/>
    <w:basedOn w:val="13"/>
    <w:next w:val="11"/>
    <w:uiPriority w:val="0"/>
    <w:pPr>
      <w:numPr>
        <w:ilvl w:val="2"/>
      </w:numPr>
      <w:spacing w:before="50" w:after="50"/>
      <w:outlineLvl w:val="3"/>
    </w:pPr>
  </w:style>
  <w:style w:type="paragraph" w:customStyle="1" w:styleId="16">
    <w:name w:val="四级条标题"/>
    <w:basedOn w:val="1"/>
    <w:next w:val="11"/>
    <w:uiPriority w:val="0"/>
    <w:pPr>
      <w:widowControl/>
      <w:numPr>
        <w:ilvl w:val="4"/>
        <w:numId w:val="1"/>
      </w:numPr>
      <w:spacing w:beforeLines="50" w:afterLines="50"/>
      <w:jc w:val="left"/>
      <w:outlineLvl w:val="5"/>
    </w:pPr>
    <w:rPr>
      <w:rFonts w:ascii="黑体" w:eastAsia="黑体"/>
      <w:kern w:val="0"/>
      <w:szCs w:val="21"/>
    </w:rPr>
  </w:style>
  <w:style w:type="paragraph" w:customStyle="1" w:styleId="17">
    <w:name w:val="五级条标题"/>
    <w:basedOn w:val="16"/>
    <w:next w:val="11"/>
    <w:uiPriority w:val="0"/>
    <w:pPr>
      <w:numPr>
        <w:ilvl w:val="5"/>
      </w:numPr>
      <w:outlineLvl w:val="6"/>
    </w:pPr>
  </w:style>
  <w:style w:type="character" w:customStyle="1" w:styleId="18">
    <w:name w:val="标题 1 Char"/>
    <w:basedOn w:val="5"/>
    <w:link w:val="2"/>
    <w:uiPriority w:val="0"/>
    <w:rPr>
      <w:rFonts w:ascii="Times New Roman" w:hAnsi="Times New Roman" w:eastAsia="宋体" w:cs="Times New Roman"/>
      <w:sz w:val="28"/>
      <w:szCs w:val="24"/>
    </w:rPr>
  </w:style>
  <w:style w:type="paragraph" w:customStyle="1" w:styleId="19">
    <w:name w:val="注×：（正文）"/>
    <w:uiPriority w:val="0"/>
    <w:pPr>
      <w:numPr>
        <w:ilvl w:val="0"/>
        <w:numId w:val="2"/>
      </w:numPr>
      <w:jc w:val="both"/>
    </w:pPr>
    <w:rPr>
      <w:rFonts w:ascii="宋体" w:hAnsi="Times New Roman" w:eastAsia="宋体" w:cs="Times New Roman"/>
      <w:kern w:val="0"/>
      <w:sz w:val="18"/>
      <w:szCs w:val="18"/>
      <w:lang w:val="en-US" w:eastAsia="zh-CN" w:bidi="ar-SA"/>
    </w:rPr>
  </w:style>
  <w:style w:type="paragraph" w:customStyle="1" w:styleId="20">
    <w:name w:val="正文表标题"/>
    <w:next w:val="11"/>
    <w:uiPriority w:val="0"/>
    <w:pPr>
      <w:numPr>
        <w:ilvl w:val="0"/>
        <w:numId w:val="3"/>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21">
    <w:name w:val="三级条标题"/>
    <w:basedOn w:val="15"/>
    <w:next w:val="11"/>
    <w:uiPriority w:val="0"/>
    <w:pPr>
      <w:numPr>
        <w:ilvl w:val="0"/>
        <w:numId w:val="0"/>
      </w:numPr>
      <w:outlineLvl w:val="4"/>
    </w:pPr>
  </w:style>
  <w:style w:type="paragraph" w:customStyle="1" w:styleId="22">
    <w:name w:val="注："/>
    <w:next w:val="11"/>
    <w:uiPriority w:val="0"/>
    <w:pPr>
      <w:widowControl w:val="0"/>
      <w:numPr>
        <w:ilvl w:val="0"/>
        <w:numId w:val="4"/>
      </w:numPr>
      <w:autoSpaceDE w:val="0"/>
      <w:autoSpaceDN w:val="0"/>
      <w:jc w:val="both"/>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5</Pages>
  <Words>562</Words>
  <Characters>3206</Characters>
  <Lines>26</Lines>
  <Paragraphs>7</Paragraphs>
  <ScaleCrop>false</ScaleCrop>
  <LinksUpToDate>false</LinksUpToDate>
  <CharactersWithSpaces>3761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2017-01-20T01:23:00Z</dcterms:created>
  <dc:creator>Wang Yi the Senior</dc:creator>
  <cp:lastModifiedBy>lenovo</cp:lastModifiedBy>
  <dcterms:modified xsi:type="dcterms:W3CDTF">2017-03-07T00:17:51Z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