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pict>
          <v:shape id="文本框 34" o:spid="_x0000_s1026" o:spt="202" type="#_x0000_t202" style="position:absolute;left:0pt;margin-left:371.6pt;margin-top:668pt;height:35.25pt;width:44.9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 inset="7.21pt,1.27mm,7.21pt,1.27mm">
              <w:txbxContent>
                <w:p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发布</w:t>
                  </w:r>
                </w:p>
              </w:txbxContent>
            </v:textbox>
          </v:shape>
        </w:pict>
      </w:r>
      <w:r>
        <w:pict>
          <v:shape id="文本框 32" o:spid="_x0000_s1027" o:spt="202" type="#_x0000_t202" style="position:absolute;left:0pt;margin-left:48.75pt;margin-top:665.75pt;height:46.4pt;width:330.6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 inset="7.21pt,1.27mm,7.21pt,1.27mm">
              <w:txbxContent>
                <w:p>
                  <w:pPr>
                    <w:spacing w:line="340" w:lineRule="exact"/>
                    <w:rPr>
                      <w:rFonts w:ascii="华文中宋" w:hAnsi="华文中宋" w:eastAsia="华文中宋" w:cs="华文中宋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sz w:val="32"/>
                      <w:szCs w:val="32"/>
                    </w:rPr>
                    <w:t>中华人民共和国国家质量监督检验检疫总局</w:t>
                  </w:r>
                </w:p>
                <w:p>
                  <w:pPr>
                    <w:spacing w:line="340" w:lineRule="exact"/>
                  </w:pPr>
                  <w:r>
                    <w:rPr>
                      <w:rFonts w:hint="eastAsia" w:ascii="华文中宋" w:hAnsi="华文中宋" w:eastAsia="华文中宋" w:cs="华文中宋"/>
                      <w:b/>
                      <w:spacing w:val="102"/>
                      <w:sz w:val="32"/>
                      <w:szCs w:val="32"/>
                    </w:rPr>
                    <w:t>中国国家标准化管理委员会</w:t>
                  </w:r>
                </w:p>
              </w:txbxContent>
            </v:textbox>
          </v:shape>
        </w:pict>
      </w:r>
      <w:r>
        <w:pict>
          <v:line id="直线 23" o:spid="_x0000_s1030" o:spt="20" style="position:absolute;left:0pt;flip:y;margin-left:0.35pt;margin-top:650.65pt;height:0.05pt;width:476.25pt;z-index:102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pict>
          <v:shape id="Quad Arrow 9" o:spid="_x0000_s1031" o:spt="202" type="#_x0000_t202" style="position:absolute;left:0pt;margin-left:7.1pt;margin-top:185.25pt;height:345.75pt;width:474.8pt;z-index:1024;mso-width-relative:page;mso-height-relative:page;" o:preferrelative="t" stroked="t" coordsize="21600,21600">
            <v:path/>
            <v:fill focussize="0,0"/>
            <v:stroke color="#FFFFFF" miterlimit="2"/>
            <v:imagedata o:title=""/>
            <o:lock v:ext="edit"/>
            <v:textbox>
              <w:txbxContent>
                <w:p>
                  <w:pPr>
                    <w:rPr>
                      <w:rFonts w:ascii="黑体" w:eastAsia="黑体"/>
                      <w:sz w:val="52"/>
                      <w:szCs w:val="52"/>
                    </w:rPr>
                  </w:pPr>
                </w:p>
                <w:p>
                  <w:pPr>
                    <w:spacing w:line="680" w:lineRule="exact"/>
                    <w:jc w:val="center"/>
                    <w:rPr>
                      <w:rFonts w:ascii="黑体" w:eastAsia="黑体"/>
                      <w:sz w:val="48"/>
                      <w:szCs w:val="48"/>
                    </w:rPr>
                  </w:pPr>
                  <w:r>
                    <w:rPr>
                      <w:rFonts w:hint="eastAsia" w:ascii="黑体" w:eastAsia="黑体"/>
                      <w:sz w:val="48"/>
                      <w:szCs w:val="48"/>
                    </w:rPr>
                    <w:t xml:space="preserve">稀土废渣、废水化学分析方法 </w:t>
                  </w:r>
                </w:p>
                <w:p>
                  <w:pPr>
                    <w:spacing w:line="680" w:lineRule="exact"/>
                    <w:jc w:val="center"/>
                    <w:rPr>
                      <w:rFonts w:ascii="黑体" w:eastAsia="黑体"/>
                      <w:sz w:val="48"/>
                      <w:szCs w:val="48"/>
                    </w:rPr>
                  </w:pPr>
                  <w:r>
                    <w:rPr>
                      <w:rFonts w:hint="eastAsia" w:ascii="黑体" w:eastAsia="黑体"/>
                      <w:sz w:val="48"/>
                      <w:szCs w:val="48"/>
                    </w:rPr>
                    <w:t>第5部分：氨氮量的测定</w:t>
                  </w:r>
                </w:p>
                <w:p>
                  <w:pPr>
                    <w:spacing w:line="680" w:lineRule="exact"/>
                    <w:jc w:val="center"/>
                    <w:rPr>
                      <w:rFonts w:ascii="黑体" w:eastAsia="黑体"/>
                      <w:sz w:val="48"/>
                      <w:szCs w:val="48"/>
                    </w:rPr>
                  </w:pPr>
                  <w:r>
                    <w:rPr>
                      <w:rFonts w:hint="eastAsia" w:ascii="黑体" w:eastAsia="黑体"/>
                      <w:sz w:val="48"/>
                      <w:szCs w:val="48"/>
                    </w:rPr>
                    <w:t>纳氏试剂光度法</w:t>
                  </w:r>
                </w:p>
                <w:p>
                  <w:pPr>
                    <w:spacing w:before="370" w:line="400" w:lineRule="exact"/>
                    <w:ind w:left="140" w:hanging="140" w:hangingChars="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Chemical analysis methods for rare earth waste residue or waste water—</w:t>
                  </w:r>
                </w:p>
                <w:p>
                  <w:pPr>
                    <w:spacing w:line="400" w:lineRule="exact"/>
                    <w:ind w:left="140" w:hanging="140" w:hangingChars="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Part </w:t>
                  </w:r>
                  <w:r>
                    <w:rPr>
                      <w:rFonts w:hint="eastAsia"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Determination of ammonia nitrogen—</w:t>
                  </w:r>
                </w:p>
                <w:p>
                  <w:pPr>
                    <w:spacing w:line="400" w:lineRule="exact"/>
                    <w:ind w:left="140" w:hanging="140" w:hangingChars="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Nessler's reagent spectrophotometry</w:t>
                  </w:r>
                </w:p>
                <w:p>
                  <w:pPr>
                    <w:spacing w:line="400" w:lineRule="exact"/>
                    <w:ind w:left="140" w:hanging="140" w:hangingChars="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spacing w:line="400" w:lineRule="exact"/>
                    <w:ind w:left="140" w:hanging="140" w:hangingChars="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spacing w:line="400" w:lineRule="exact"/>
                    <w:ind w:left="140" w:hanging="140" w:hangingChars="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cs="Times New Roman"/>
                      <w:sz w:val="28"/>
                      <w:szCs w:val="28"/>
                    </w:rPr>
                    <w:t>（送审稿）</w:t>
                  </w:r>
                </w:p>
              </w:txbxContent>
            </v:textbox>
          </v:shape>
        </w:pict>
      </w:r>
      <w:r>
        <w:pict>
          <v:shape id="Straight Connector 7" o:spid="_x0000_s1032" o:spt="32" type="#_x0000_t32" style="position:absolute;left:0pt;margin-left:7.1pt;margin-top:123.9pt;height:0.05pt;width:474.8pt;z-index:1024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  <w:r>
        <w:pict>
          <v:shape id="fmFrame6" o:spid="_x0000_s1028" o:spt="202" type="#_x0000_t202" style="position:absolute;left:0pt;margin-left:355.25pt;margin-top:622.9pt;height:24pt;width:121.35pt;mso-position-horizontal-relative:margin;mso-position-vertical-relative:margin;z-index:1024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7"/>
                    <w:jc w:val="center"/>
                    <w:rPr>
                      <w:rFonts w:ascii="黑体" w:hAnsi="宋体"/>
                      <w:b/>
                      <w:bCs/>
                      <w:szCs w:val="28"/>
                    </w:rPr>
                  </w:pPr>
                  <w:r>
                    <w:rPr>
                      <w:rFonts w:hint="eastAsia" w:ascii="黑体" w:hAnsi="宋体" w:cs="华文中宋"/>
                      <w:b/>
                      <w:bCs/>
                      <w:szCs w:val="28"/>
                    </w:rPr>
                    <w:t>201X-XX-XX 实施</w:t>
                  </w:r>
                </w:p>
              </w:txbxContent>
            </v:textbox>
            <w10:anchorlock/>
          </v:shape>
        </w:pict>
      </w:r>
      <w:r>
        <w:pict>
          <v:shape id="fmFrame5" o:spid="_x0000_s1029" o:spt="202" type="#_x0000_t202" style="position:absolute;left:0pt;margin-left:4.1pt;margin-top:622.3pt;height:25.35pt;width:112.55pt;mso-position-horizontal-relative:margin;mso-position-vertical-relative:margin;z-index:1024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6"/>
                    <w:rPr>
                      <w:rFonts w:ascii="黑体" w:hAnsi="宋体" w:cs="华文中宋"/>
                      <w:b/>
                      <w:bCs/>
                      <w:szCs w:val="28"/>
                    </w:rPr>
                  </w:pPr>
                  <w:r>
                    <w:rPr>
                      <w:rFonts w:hint="eastAsia" w:ascii="黑体" w:hAnsi="宋体" w:cs="华文中宋"/>
                      <w:b/>
                      <w:bCs/>
                      <w:szCs w:val="28"/>
                    </w:rPr>
                    <w:t>201X-XX-XX发布</w:t>
                  </w:r>
                </w:p>
              </w:txbxContent>
            </v:textbox>
            <w10:anchorlock/>
          </v:shape>
        </w:pict>
      </w:r>
      <w:r>
        <w:pict>
          <v:shape id="fmFrame3" o:spid="_x0000_s1033" o:spt="202" type="#_x0000_t202" style="position:absolute;left:0pt;margin-left:-14.25pt;margin-top:60.85pt;height:45.05pt;width:510.4pt;mso-position-horizontal-relative:margin;mso-position-vertical-relative:margin;z-index:1024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5"/>
                    <w:wordWrap w:val="0"/>
                    <w:ind w:right="5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 xml:space="preserve">GB/T </w:t>
                  </w:r>
                  <w:r>
                    <w:rPr>
                      <w:rFonts w:hint="eastAsia" w:ascii="Times New Roman" w:eastAsia="华文中宋"/>
                      <w:b/>
                      <w:sz w:val="24"/>
                      <w:szCs w:val="24"/>
                    </w:rPr>
                    <w:t>XXXX</w:t>
                  </w:r>
                  <w:r>
                    <w:rPr>
                      <w:rFonts w:hint="eastAsia" w:ascii="Times New Roman" w:eastAsia="华文中宋"/>
                      <w:b/>
                      <w:sz w:val="24"/>
                      <w:szCs w:val="24"/>
                      <w:lang w:val="en-US" w:eastAsia="zh-CN"/>
                    </w:rPr>
                    <w:t>.5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—</w:t>
                  </w:r>
                  <w:r>
                    <w:rPr>
                      <w:rFonts w:hint="eastAsia" w:ascii="Times New Roman" w:eastAsia="华文中宋"/>
                      <w:b/>
                      <w:sz w:val="24"/>
                      <w:szCs w:val="24"/>
                      <w:lang w:val="en-US" w:eastAsia="zh-CN"/>
                    </w:rPr>
                    <w:t>201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  <w10:anchorlock/>
          </v:shape>
        </w:pict>
      </w:r>
      <w:r>
        <w:pict>
          <v:shape id="fmFrame2" o:spid="_x0000_s1034" o:spt="202" type="#_x0000_t202" style="position:absolute;left:0pt;margin-left:-3pt;margin-top:18.65pt;height:38.45pt;width:481.9pt;mso-position-horizontal-relative:margin;mso-position-vertical-relative:margin;z-index:1024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pStyle w:val="14"/>
                    <w:rPr>
                      <w:rFonts w:ascii="宋体" w:eastAsia="宋体" w:cs="宋体"/>
                      <w:b/>
                      <w:w w:val="130"/>
                      <w:sz w:val="52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spacing w:val="0"/>
                      <w:w w:val="130"/>
                      <w:sz w:val="52"/>
                    </w:rPr>
                    <w:t>中华人民共和国国家标准</w:t>
                  </w:r>
                </w:p>
              </w:txbxContent>
            </v:textbox>
            <w10:anchorlock/>
          </v:shape>
        </w:pict>
      </w:r>
      <w:r>
        <w:pict>
          <v:shape id="HBPicture" o:spid="_x0000_s1035" o:spt="75" type="#_x0000_t75" style="position:absolute;left:0pt;margin-left:353.6pt;margin-top:-53.85pt;height:57pt;width:110.5pt;mso-position-horizontal-relative:margin;mso-position-vertical-relative:margin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anchorlock/>
          </v:shape>
        </w:pict>
      </w:r>
      <w:r>
        <w:pict>
          <v:shape id="fmFrame1" o:spid="_x0000_s1036" o:spt="202" type="#_x0000_t202" style="position:absolute;left:0pt;margin-left:-1.5pt;margin-top:-53.1pt;height:51.8pt;width:200pt;mso-position-horizontal-relative:margin;mso-position-vertical-relative:margin;z-index:1024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3"/>
                    <w:rPr>
                      <w:color w:val="FF0000"/>
                    </w:rPr>
                  </w:pPr>
                  <w:r>
                    <w:t>ICS 77.120.99</w:t>
                  </w:r>
                </w:p>
                <w:p>
                  <w:pPr>
                    <w:pStyle w:val="13"/>
                  </w:pPr>
                  <w:r>
                    <w:t>H 65</w:t>
                  </w:r>
                </w:p>
                <w:p>
                  <w:pPr>
                    <w:pStyle w:val="13"/>
                    <w:rPr>
                      <w:rFonts w:eastAsia="宋体"/>
                    </w:rPr>
                  </w:pPr>
                </w:p>
              </w:txbxContent>
            </v:textbox>
            <w10:anchorlock/>
          </v:shape>
        </w:pict>
      </w:r>
    </w:p>
    <w:p>
      <w:pPr>
        <w:pStyle w:val="18"/>
      </w:pPr>
      <w:r>
        <w:rPr>
          <w:rFonts w:hint="eastAsia"/>
        </w:rPr>
        <w:t>前  言</w:t>
      </w:r>
    </w:p>
    <w:p>
      <w:pPr>
        <w:tabs>
          <w:tab w:val="left" w:pos="750"/>
        </w:tabs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GB/T XXXX《稀土废渣、废水化学分析方法》共分为5个部分：</w:t>
      </w:r>
    </w:p>
    <w:p>
      <w:pPr>
        <w:tabs>
          <w:tab w:val="left" w:pos="750"/>
        </w:tabs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——第1部分：氟离子的测定 离子选择电极法；</w:t>
      </w:r>
    </w:p>
    <w:p>
      <w:pPr>
        <w:tabs>
          <w:tab w:val="left" w:pos="750"/>
        </w:tabs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——第2部分：</w:t>
      </w:r>
      <w:r>
        <w:rPr>
          <w:rFonts w:ascii="宋体" w:hAnsi="宋体"/>
        </w:rPr>
        <w:t>化学需氧量(COD)的测定 重铬酸钾滴定法</w:t>
      </w:r>
      <w:r>
        <w:rPr>
          <w:rFonts w:hint="eastAsia" w:ascii="宋体" w:hAnsi="宋体"/>
        </w:rPr>
        <w:t>；</w:t>
      </w:r>
    </w:p>
    <w:p>
      <w:pPr>
        <w:tabs>
          <w:tab w:val="left" w:pos="750"/>
        </w:tabs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——第3部分：</w:t>
      </w:r>
      <w:r>
        <w:rPr>
          <w:rFonts w:ascii="宋体" w:hAnsi="宋体"/>
        </w:rPr>
        <w:t>弱放射性的测定</w:t>
      </w:r>
      <w:r>
        <w:rPr>
          <w:rFonts w:hint="eastAsia" w:ascii="宋体" w:hAnsi="宋体"/>
        </w:rPr>
        <w:t>；</w:t>
      </w:r>
    </w:p>
    <w:p>
      <w:pPr>
        <w:tabs>
          <w:tab w:val="left" w:pos="750"/>
        </w:tabs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——第4部分：铜、锌、铅、铬、镉、钡、钴、锰、镍、钛</w:t>
      </w:r>
      <w:r>
        <w:rPr>
          <w:rFonts w:ascii="宋体" w:hAnsi="宋体"/>
        </w:rPr>
        <w:t>的测定 电感耦合等离子体光谱法</w:t>
      </w:r>
      <w:r>
        <w:rPr>
          <w:rFonts w:hint="eastAsia" w:ascii="宋体" w:hAnsi="宋体"/>
        </w:rPr>
        <w:t>；</w:t>
      </w:r>
    </w:p>
    <w:p>
      <w:pPr>
        <w:tabs>
          <w:tab w:val="left" w:pos="750"/>
        </w:tabs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——第5部分：</w:t>
      </w:r>
      <w:r>
        <w:rPr>
          <w:rFonts w:ascii="宋体" w:hAnsi="宋体"/>
        </w:rPr>
        <w:t>氨氮量的测定 纳氏试剂光度法</w:t>
      </w:r>
      <w:r>
        <w:rPr>
          <w:rFonts w:hint="eastAsia" w:ascii="宋体" w:hAnsi="宋体"/>
        </w:rPr>
        <w:t>。</w:t>
      </w:r>
    </w:p>
    <w:p>
      <w:pPr>
        <w:tabs>
          <w:tab w:val="left" w:pos="750"/>
        </w:tabs>
        <w:ind w:firstLine="420" w:firstLineChars="200"/>
        <w:rPr>
          <w:highlight w:val="yellow"/>
        </w:rPr>
      </w:pPr>
      <w:r>
        <w:rPr>
          <w:rFonts w:hint="eastAsia" w:ascii="宋体" w:hAnsi="宋体"/>
        </w:rPr>
        <w:t>本部分为第</w:t>
      </w: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部分。</w:t>
      </w:r>
    </w:p>
    <w:p>
      <w:pPr>
        <w:tabs>
          <w:tab w:val="left" w:pos="750"/>
        </w:tabs>
        <w:ind w:firstLine="420" w:firstLineChars="200"/>
        <w:rPr>
          <w:rFonts w:hint="eastAsia" w:ascii="宋体" w:hAnsi="宋体" w:cs="宋体"/>
          <w:highlight w:val="yellow"/>
        </w:rPr>
      </w:pPr>
      <w:r>
        <w:rPr>
          <w:highlight w:val="yellow"/>
        </w:rPr>
        <w:t>本部分包含</w:t>
      </w:r>
      <w:r>
        <w:rPr>
          <w:rFonts w:hint="eastAsia"/>
          <w:highlight w:val="yellow"/>
        </w:rPr>
        <w:t>三</w:t>
      </w:r>
      <w:r>
        <w:rPr>
          <w:highlight w:val="yellow"/>
        </w:rPr>
        <w:t>个分析方法，</w:t>
      </w:r>
      <w:r>
        <w:rPr>
          <w:rFonts w:ascii="Times New Roman" w:hAnsi="Times New Roman" w:cs="Times New Roman"/>
          <w:highlight w:val="yellow"/>
        </w:rPr>
        <w:t>方法1为</w:t>
      </w:r>
      <w:r>
        <w:rPr>
          <w:rFonts w:hint="eastAsia" w:ascii="Times New Roman" w:hAnsi="Times New Roman" w:cs="Times New Roman"/>
          <w:highlight w:val="yellow"/>
        </w:rPr>
        <w:t>纳氏试剂光度</w:t>
      </w:r>
      <w:r>
        <w:rPr>
          <w:rFonts w:ascii="Times New Roman" w:hAnsi="Times New Roman" w:cs="Times New Roman"/>
          <w:highlight w:val="yellow"/>
        </w:rPr>
        <w:t>法，方法2为</w:t>
      </w:r>
      <w:r>
        <w:rPr>
          <w:rFonts w:hint="eastAsia" w:ascii="Times New Roman" w:hAnsi="Times New Roman" w:cs="Times New Roman"/>
          <w:highlight w:val="yellow"/>
        </w:rPr>
        <w:t>水杨酸分光光度</w:t>
      </w:r>
      <w:r>
        <w:rPr>
          <w:rFonts w:ascii="Times New Roman" w:hAnsi="Times New Roman" w:cs="Times New Roman"/>
          <w:highlight w:val="yellow"/>
        </w:rPr>
        <w:t>法</w:t>
      </w:r>
      <w:r>
        <w:rPr>
          <w:rFonts w:hint="eastAsia" w:ascii="Times New Roman" w:hAnsi="Times New Roman" w:cs="Times New Roman"/>
          <w:highlight w:val="yellow"/>
        </w:rPr>
        <w:t>，方法3为蒸馏-中和滴定法</w:t>
      </w:r>
      <w:r>
        <w:rPr>
          <w:rFonts w:ascii="Times New Roman" w:hAnsi="Times New Roman" w:cs="Times New Roman"/>
          <w:highlight w:val="yellow"/>
        </w:rPr>
        <w:t>。</w:t>
      </w:r>
      <w:r>
        <w:rPr>
          <w:rFonts w:hint="eastAsia" w:ascii="宋体" w:hAnsi="宋体" w:cs="宋体"/>
          <w:highlight w:val="yellow"/>
        </w:rPr>
        <w:t>当方法1与方法2测定范围重叠时，以方法1为仲裁方法；当方法1与方法3测定范围重叠时，以方法3为冲裁方法。</w:t>
      </w:r>
    </w:p>
    <w:p>
      <w:pPr>
        <w:pStyle w:val="20"/>
        <w:ind w:firstLine="420" w:firstLineChars="200"/>
        <w:rPr>
          <w:rFonts w:hint="eastAsia" w:ascii="宋体" w:hAnsi="宋体" w:cs="宋体"/>
          <w:highlight w:val="yellow"/>
        </w:rPr>
      </w:pPr>
      <w:r>
        <w:rPr>
          <w:rFonts w:hint="eastAsia" w:ascii="宋体" w:hAnsi="宋体"/>
          <w:highlight w:val="yellow"/>
        </w:rPr>
        <w:t>本标准是按照GB/T 1.1—2009给出的规则起草的。</w:t>
      </w:r>
    </w:p>
    <w:p>
      <w:pPr>
        <w:tabs>
          <w:tab w:val="left" w:pos="750"/>
        </w:tabs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本部分由全国稀土标准化技术委员会（SAC/TC229）提出并归口。</w:t>
      </w:r>
    </w:p>
    <w:p>
      <w:pPr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</w:rPr>
        <w:t>本部分负责起草单位：虔东稀土集团股份有限公司、赣州艾科锐检测技术有限公司、包头稀土研究院。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宋体"/>
        </w:rPr>
        <w:t>本部分方法</w:t>
      </w:r>
      <w:r>
        <w:rPr>
          <w:rFonts w:ascii="Times New Roman" w:hAnsi="Times New Roman"/>
        </w:rPr>
        <w:t>1</w:t>
      </w:r>
      <w:r>
        <w:rPr>
          <w:rFonts w:ascii="Times New Roman" w:hAnsi="宋体"/>
        </w:rPr>
        <w:t>参加起草单位：</w:t>
      </w:r>
      <w:r>
        <w:t>赣州晨光稀土新材料股份有限公司</w:t>
      </w:r>
      <w:r>
        <w:rPr>
          <w:rFonts w:hint="eastAsia"/>
        </w:rPr>
        <w:t>、</w:t>
      </w:r>
      <w:r>
        <w:t>赣州有色冶金研究所</w:t>
      </w:r>
      <w:r>
        <w:rPr>
          <w:rFonts w:hint="eastAsia"/>
        </w:rPr>
        <w:t>、</w:t>
      </w:r>
      <w:r>
        <w:t>中国有色桂林矿产地质研究院有限公司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Times New Roman" w:hAnsi="Times New Roman"/>
          <w:color w:val="FF0000"/>
        </w:rPr>
      </w:pPr>
      <w:r>
        <w:rPr>
          <w:rFonts w:ascii="Times New Roman" w:hAnsi="宋体"/>
          <w:color w:val="FF0000"/>
        </w:rPr>
        <w:t>本部分方法</w:t>
      </w:r>
      <w:r>
        <w:rPr>
          <w:rFonts w:ascii="Times New Roman" w:hAnsi="Times New Roman"/>
          <w:color w:val="FF0000"/>
        </w:rPr>
        <w:t>1</w:t>
      </w:r>
      <w:r>
        <w:rPr>
          <w:rFonts w:ascii="Times New Roman" w:hAnsi="宋体"/>
          <w:color w:val="FF0000"/>
        </w:rPr>
        <w:t>主要起草人：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宋体"/>
        </w:rPr>
      </w:pPr>
      <w:r>
        <w:rPr>
          <w:rFonts w:ascii="Times New Roman" w:hAnsi="宋体"/>
        </w:rPr>
        <w:t>本部分方法</w:t>
      </w:r>
      <w:r>
        <w:rPr>
          <w:rFonts w:ascii="Times New Roman" w:hAnsi="Times New Roman"/>
        </w:rPr>
        <w:t>2</w:t>
      </w:r>
      <w:r>
        <w:rPr>
          <w:rFonts w:ascii="Times New Roman" w:hAnsi="宋体"/>
        </w:rPr>
        <w:t>参加起草单位：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宋体"/>
        </w:rPr>
        <w:t>本部分方法</w:t>
      </w:r>
      <w:r>
        <w:rPr>
          <w:rFonts w:ascii="Times New Roman" w:hAnsi="Times New Roman"/>
        </w:rPr>
        <w:t>2</w:t>
      </w:r>
      <w:r>
        <w:rPr>
          <w:rFonts w:ascii="Times New Roman" w:hAnsi="宋体"/>
        </w:rPr>
        <w:t>主要起草人：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宋体"/>
        </w:rPr>
      </w:pPr>
      <w:r>
        <w:rPr>
          <w:rFonts w:ascii="Times New Roman" w:hAnsi="宋体"/>
        </w:rPr>
        <w:t>本部分方法</w:t>
      </w:r>
      <w:r>
        <w:rPr>
          <w:rFonts w:hint="eastAsia" w:ascii="Times New Roman" w:hAnsi="Times New Roman"/>
        </w:rPr>
        <w:t>3</w:t>
      </w:r>
      <w:r>
        <w:rPr>
          <w:rFonts w:ascii="Times New Roman" w:hAnsi="宋体"/>
        </w:rPr>
        <w:t>参加起草单位：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宋体"/>
        </w:rPr>
        <w:t>本部分方法</w:t>
      </w:r>
      <w:r>
        <w:rPr>
          <w:rFonts w:hint="eastAsia" w:ascii="Times New Roman" w:hAnsi="Times New Roman"/>
        </w:rPr>
        <w:t>3</w:t>
      </w:r>
      <w:r>
        <w:rPr>
          <w:rFonts w:ascii="Times New Roman" w:hAnsi="宋体"/>
        </w:rPr>
        <w:t>主要起草人：</w:t>
      </w:r>
    </w:p>
    <w:p>
      <w:pPr>
        <w:tabs>
          <w:tab w:val="left" w:pos="750"/>
        </w:tabs>
        <w:ind w:firstLine="420" w:firstLineChars="200"/>
      </w:pPr>
    </w:p>
    <w:p>
      <w:pPr>
        <w:widowControl/>
        <w:jc w:val="left"/>
      </w:pPr>
    </w:p>
    <w:p>
      <w:pPr>
        <w:pStyle w:val="18"/>
        <w:rPr>
          <w:rFonts w:hint="eastAsia" w:hAnsi="宋体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567" w:right="1134" w:bottom="1134" w:left="1418" w:header="1417" w:footer="1134" w:gutter="0"/>
          <w:cols w:space="720" w:num="1"/>
          <w:titlePg/>
          <w:docGrid w:type="lines" w:linePitch="312" w:charSpace="0"/>
        </w:sectPr>
      </w:pPr>
    </w:p>
    <w:p>
      <w:pPr>
        <w:pStyle w:val="18"/>
      </w:pPr>
      <w:r>
        <w:rPr>
          <w:rFonts w:hint="eastAsia" w:hAnsi="宋体"/>
        </w:rPr>
        <w:t>稀土废渣、废水化学分析方法                                第5部分：</w:t>
      </w:r>
      <w:r>
        <w:rPr>
          <w:rFonts w:ascii="宋体" w:hAnsi="宋体"/>
        </w:rPr>
        <w:t>氨氮量的测定</w:t>
      </w:r>
      <w:r>
        <w:rPr>
          <w:rFonts w:hint="eastAsia" w:ascii="宋体" w:hAnsi="宋体"/>
        </w:rPr>
        <w:t>（方法1）</w:t>
      </w:r>
      <w:r>
        <w:rPr>
          <w:rFonts w:ascii="宋体" w:hAnsi="宋体"/>
        </w:rPr>
        <w:t>纳氏试剂光度法</w:t>
      </w:r>
    </w:p>
    <w:p>
      <w:pPr>
        <w:pStyle w:val="22"/>
        <w:spacing w:before="312" w:after="312"/>
      </w:pPr>
      <w:r>
        <w:rPr>
          <w:rFonts w:hint="eastAsia"/>
        </w:rPr>
        <w:t>范围</w:t>
      </w:r>
    </w:p>
    <w:p>
      <w:pPr>
        <w:tabs>
          <w:tab w:val="left" w:pos="750"/>
        </w:tabs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本部分规定了稀土废渣</w:t>
      </w:r>
      <w:r>
        <w:rPr>
          <w:rFonts w:hint="eastAsia" w:ascii="Times New Roman" w:cs="Times New Roman"/>
          <w:highlight w:val="yellow"/>
        </w:rPr>
        <w:t>浸出液及</w:t>
      </w:r>
      <w:r>
        <w:rPr>
          <w:rFonts w:ascii="Times New Roman" w:cs="Times New Roman"/>
        </w:rPr>
        <w:t>废水中</w:t>
      </w:r>
      <w:r>
        <w:rPr>
          <w:rFonts w:hint="eastAsia" w:ascii="Times New Roman" w:cs="Times New Roman"/>
        </w:rPr>
        <w:t>氨氮量</w:t>
      </w:r>
      <w:r>
        <w:rPr>
          <w:rFonts w:ascii="Times New Roman" w:cs="Times New Roman"/>
        </w:rPr>
        <w:t>的测定方法。</w:t>
      </w:r>
    </w:p>
    <w:p>
      <w:pPr>
        <w:tabs>
          <w:tab w:val="left" w:pos="750"/>
        </w:tabs>
        <w:ind w:firstLine="420" w:firstLineChars="200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本部分适用于稀土废渣</w:t>
      </w:r>
      <w:r>
        <w:rPr>
          <w:rFonts w:hint="eastAsia" w:ascii="Times New Roman" w:cs="Times New Roman"/>
          <w:highlight w:val="yellow"/>
        </w:rPr>
        <w:t>浸出液及</w:t>
      </w:r>
      <w:r>
        <w:rPr>
          <w:rFonts w:ascii="Times New Roman" w:hAnsi="宋体" w:cs="Times New Roman"/>
        </w:rPr>
        <w:t>废水中</w:t>
      </w:r>
      <w:r>
        <w:rPr>
          <w:rFonts w:hint="eastAsia" w:ascii="Times New Roman" w:cs="Times New Roman"/>
        </w:rPr>
        <w:t>氨氮量</w:t>
      </w:r>
      <w:r>
        <w:rPr>
          <w:rFonts w:ascii="Times New Roman" w:hAnsi="宋体" w:cs="Times New Roman"/>
        </w:rPr>
        <w:t>的测定。</w:t>
      </w:r>
      <w:r>
        <w:rPr>
          <w:rFonts w:hint="eastAsia" w:ascii="Times New Roman" w:hAnsi="宋体" w:cs="Times New Roman"/>
          <w:highlight w:val="yellow"/>
          <w:lang w:eastAsia="zh-CN"/>
        </w:rPr>
        <w:t>共包含了</w:t>
      </w:r>
      <w:r>
        <w:rPr>
          <w:rFonts w:hint="eastAsia" w:ascii="Times New Roman" w:hAnsi="宋体" w:cs="Times New Roman"/>
          <w:highlight w:val="yellow"/>
          <w:lang w:val="en-US" w:eastAsia="zh-CN"/>
        </w:rPr>
        <w:t>3个方法，方法1纳氏试剂光度法，方法2xxxx法，方法3xxxx法。方法1测定范围：0.5</w:t>
      </w:r>
      <w:r>
        <w:rPr>
          <w:rFonts w:hint="default" w:ascii="Times New Roman" w:hAnsi="Times New Roman" w:cs="Times New Roman"/>
          <w:highlight w:val="yellow"/>
          <w:lang w:val="en-US" w:eastAsia="zh-CN"/>
        </w:rPr>
        <w:t>~</w:t>
      </w:r>
      <w:r>
        <w:rPr>
          <w:rFonts w:hint="eastAsia" w:ascii="Times New Roman" w:hAnsi="Times New Roman" w:cs="Times New Roman"/>
          <w:highlight w:val="yellow"/>
          <w:lang w:val="en-US" w:eastAsia="zh-CN"/>
        </w:rPr>
        <w:t>900</w:t>
      </w:r>
      <w:r>
        <w:rPr>
          <w:rFonts w:hint="eastAsia" w:ascii="Times New Roman" w:hAnsi="Times New Roman"/>
          <w:szCs w:val="21"/>
          <w:highlight w:val="yellow"/>
        </w:rPr>
        <w:t>mg/L</w:t>
      </w:r>
      <w:r>
        <w:rPr>
          <w:rFonts w:hint="eastAsia" w:ascii="Times New Roman" w:hAnsi="Times New Roman"/>
          <w:szCs w:val="21"/>
          <w:highlight w:val="yellow"/>
          <w:lang w:eastAsia="zh-CN"/>
        </w:rPr>
        <w:t>。</w:t>
      </w:r>
    </w:p>
    <w:p>
      <w:pPr>
        <w:tabs>
          <w:tab w:val="left" w:pos="750"/>
        </w:tabs>
        <w:ind w:firstLine="420" w:firstLineChars="200"/>
        <w:rPr>
          <w:rFonts w:ascii="Times New Roman" w:hAnsi="宋体" w:cs="Times New Roman"/>
          <w:strike/>
          <w:dstrike w:val="0"/>
        </w:rPr>
      </w:pPr>
    </w:p>
    <w:p>
      <w:pPr>
        <w:pStyle w:val="22"/>
        <w:spacing w:before="312" w:after="312"/>
        <w:rPr>
          <w:highlight w:val="yellow"/>
        </w:rPr>
      </w:pPr>
      <w:r>
        <w:rPr>
          <w:rFonts w:hint="eastAsia"/>
          <w:highlight w:val="yellow"/>
        </w:rPr>
        <w:t>规范性引用文件</w:t>
      </w:r>
    </w:p>
    <w:p>
      <w:pPr>
        <w:pStyle w:val="22"/>
        <w:numPr>
          <w:ilvl w:val="0"/>
          <w:numId w:val="0"/>
        </w:numPr>
        <w:spacing w:beforeLines="0" w:afterLines="0"/>
        <w:ind w:firstLine="420" w:firstLineChars="200"/>
        <w:rPr>
          <w:rFonts w:hint="eastAsia" w:ascii="宋体" w:hAnsi="宋体" w:eastAsia="宋体"/>
          <w:highlight w:val="yellow"/>
        </w:rPr>
      </w:pPr>
      <w:r>
        <w:rPr>
          <w:rFonts w:hint="eastAsia" w:ascii="宋体" w:hAnsi="宋体" w:eastAsia="宋体"/>
          <w:highlight w:val="yellow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22"/>
        <w:numPr>
          <w:ilvl w:val="0"/>
          <w:numId w:val="0"/>
        </w:numPr>
        <w:spacing w:beforeLines="0" w:afterLines="0"/>
        <w:ind w:firstLine="420" w:firstLineChars="200"/>
        <w:rPr>
          <w:rFonts w:hint="default" w:ascii="Times New Roman" w:hAnsi="Times New Roman" w:eastAsia="宋体" w:cs="Times New Roman"/>
          <w:highlight w:val="yellow"/>
        </w:rPr>
      </w:pPr>
      <w:r>
        <w:rPr>
          <w:rFonts w:hint="default" w:ascii="Times New Roman" w:hAnsi="Times New Roman" w:eastAsia="宋体" w:cs="Times New Roman"/>
          <w:highlight w:val="yellow"/>
        </w:rPr>
        <w:t>HJ/T</w:t>
      </w:r>
      <w:r>
        <w:rPr>
          <w:rFonts w:hint="default" w:ascii="Times New Roman" w:hAnsi="Times New Roman" w:eastAsia="宋体" w:cs="Times New Roman"/>
          <w:highlight w:val="yellow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highlight w:val="yellow"/>
        </w:rPr>
        <w:t>299 固体废物 浸出毒性浸出方法 硫酸硝酸法</w:t>
      </w:r>
    </w:p>
    <w:p>
      <w:pPr>
        <w:pStyle w:val="22"/>
        <w:spacing w:before="312" w:after="312"/>
      </w:pPr>
      <w:r>
        <w:rPr>
          <w:rFonts w:hint="eastAsia"/>
        </w:rPr>
        <w:t>方法原理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稀土废渣</w:t>
      </w:r>
      <w:r>
        <w:rPr>
          <w:rFonts w:hint="eastAsia" w:ascii="Times New Roman" w:hAnsi="Times New Roman" w:cs="Times New Roman"/>
          <w:szCs w:val="21"/>
          <w:highlight w:val="yellow"/>
        </w:rPr>
        <w:t>参照HJ/T29</w:t>
      </w:r>
      <w:r>
        <w:rPr>
          <w:rFonts w:hint="eastAsia" w:ascii="Times New Roman" w:hAnsi="Times New Roman" w:cs="Times New Roman"/>
          <w:strike w:val="0"/>
          <w:dstrike w:val="0"/>
          <w:szCs w:val="21"/>
          <w:highlight w:val="yellow"/>
        </w:rPr>
        <w:t>9</w:t>
      </w:r>
      <w:r>
        <w:rPr>
          <w:rFonts w:hint="eastAsia" w:ascii="Times New Roman" w:hAnsi="Times New Roman" w:cs="Times New Roman"/>
          <w:szCs w:val="21"/>
          <w:highlight w:val="yellow"/>
        </w:rPr>
        <w:t>处理</w:t>
      </w:r>
      <w:r>
        <w:rPr>
          <w:rFonts w:hint="eastAsia" w:ascii="Times New Roman" w:hAnsi="Times New Roman"/>
          <w:szCs w:val="21"/>
          <w:highlight w:val="yellow"/>
        </w:rPr>
        <w:t>，取其浸取液后，统一按水样进行处理。</w:t>
      </w:r>
      <w:r>
        <w:rPr>
          <w:rFonts w:hint="eastAsia" w:ascii="宋体" w:hAnsi="宋体" w:cs="宋体"/>
          <w:szCs w:val="21"/>
        </w:rPr>
        <w:t>试样在碱性条件下，碘化汞和碘化钾的碱性溶液与氨反应生成淡黄棕色的络合物，该络合物的色度与氨氮的含量成正比，于波长</w:t>
      </w:r>
      <w:r>
        <w:rPr>
          <w:rFonts w:ascii="Times New Roman" w:hAnsi="Times New Roman"/>
          <w:szCs w:val="21"/>
        </w:rPr>
        <w:t>420nm</w:t>
      </w:r>
      <w:r>
        <w:rPr>
          <w:rFonts w:hint="eastAsia" w:ascii="宋体" w:hAnsi="宋体" w:cs="宋体"/>
          <w:szCs w:val="21"/>
        </w:rPr>
        <w:t>处测量吸光度。</w:t>
      </w:r>
    </w:p>
    <w:p>
      <w:pPr>
        <w:pStyle w:val="22"/>
        <w:spacing w:before="312" w:after="312"/>
      </w:pPr>
      <w:r>
        <w:rPr>
          <w:rFonts w:hint="eastAsia"/>
        </w:rPr>
        <w:t>试剂</w:t>
      </w:r>
      <w:r>
        <w:rPr>
          <w:rFonts w:hint="eastAsia"/>
          <w:lang w:eastAsia="zh-CN"/>
        </w:rPr>
        <w:t>和材料</w:t>
      </w:r>
    </w:p>
    <w:p>
      <w:pPr>
        <w:pStyle w:val="22"/>
        <w:numPr>
          <w:ilvl w:val="0"/>
          <w:numId w:val="0"/>
        </w:numPr>
        <w:spacing w:beforeLines="0" w:afterLines="0"/>
        <w:rPr>
          <w:rFonts w:hint="default" w:ascii="Times New Roman" w:hAnsi="Times New Roman" w:cs="Times New Roman"/>
          <w:color w:val="0000FF"/>
          <w:highlight w:val="none"/>
        </w:rPr>
      </w:pPr>
      <w:r>
        <w:rPr>
          <w:rFonts w:hint="eastAsia" w:hAnsi="宋体" w:cs="黑体"/>
          <w:kern w:val="2"/>
          <w:szCs w:val="22"/>
          <w:highlight w:val="none"/>
          <w:lang w:val="en-US" w:eastAsia="zh-CN"/>
        </w:rPr>
        <w:t>4</w:t>
      </w:r>
      <w:r>
        <w:rPr>
          <w:rFonts w:hint="eastAsia" w:hAnsi="宋体" w:cs="黑体"/>
          <w:kern w:val="2"/>
          <w:szCs w:val="22"/>
          <w:highlight w:val="none"/>
        </w:rPr>
        <w:t>.1</w:t>
      </w:r>
      <w:r>
        <w:rPr>
          <w:rFonts w:hint="eastAsia" w:hAnsi="宋体" w:cs="黑体"/>
          <w:kern w:val="2"/>
          <w:szCs w:val="2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FF"/>
          <w:szCs w:val="21"/>
          <w:highlight w:val="none"/>
        </w:rPr>
        <w:t>硝酸</w:t>
      </w:r>
      <w:r>
        <w:rPr>
          <w:rFonts w:hint="default" w:ascii="Times New Roman" w:hAnsi="Times New Roman" w:eastAsia="宋体" w:cs="Times New Roman"/>
          <w:color w:val="0000FF"/>
          <w:kern w:val="2"/>
          <w:szCs w:val="22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0000FF"/>
          <w:kern w:val="2"/>
          <w:szCs w:val="22"/>
          <w:highlight w:val="none"/>
        </w:rPr>
        <w:t>ρ=1.</w:t>
      </w:r>
      <w:r>
        <w:rPr>
          <w:rFonts w:hint="default" w:ascii="Times New Roman" w:hAnsi="Times New Roman" w:eastAsia="宋体" w:cs="Times New Roman"/>
          <w:color w:val="0000FF"/>
          <w:kern w:val="2"/>
          <w:szCs w:val="22"/>
          <w:highlight w:val="none"/>
          <w:lang w:val="en-US" w:eastAsia="zh-CN"/>
        </w:rPr>
        <w:t>42</w:t>
      </w:r>
      <w:r>
        <w:rPr>
          <w:rFonts w:hint="default" w:ascii="Times New Roman" w:hAnsi="Times New Roman" w:eastAsia="宋体" w:cs="Times New Roman"/>
          <w:color w:val="0000FF"/>
          <w:kern w:val="2"/>
          <w:szCs w:val="22"/>
          <w:highlight w:val="none"/>
        </w:rPr>
        <w:t>g/mL</w:t>
      </w:r>
      <w:r>
        <w:rPr>
          <w:rFonts w:hint="default" w:ascii="Times New Roman" w:hAnsi="Times New Roman" w:eastAsia="宋体" w:cs="Times New Roman"/>
          <w:color w:val="0000FF"/>
          <w:kern w:val="2"/>
          <w:szCs w:val="22"/>
          <w:highlight w:val="none"/>
          <w:lang w:eastAsia="zh-CN"/>
        </w:rPr>
        <w:t>），</w:t>
      </w:r>
      <w:r>
        <w:rPr>
          <w:rFonts w:hint="default" w:ascii="Times New Roman" w:hAnsi="Times New Roman" w:eastAsia="宋体" w:cs="Times New Roman"/>
          <w:color w:val="0000FF"/>
          <w:szCs w:val="21"/>
          <w:highlight w:val="none"/>
        </w:rPr>
        <w:t>优级纯。</w:t>
      </w:r>
    </w:p>
    <w:p>
      <w:pPr>
        <w:pStyle w:val="5"/>
        <w:rPr>
          <w:rFonts w:hint="default" w:ascii="Times New Roman" w:hAnsi="Times New Roman" w:cs="Times New Roman"/>
          <w:color w:val="0000FF"/>
          <w:szCs w:val="21"/>
          <w:highlight w:val="none"/>
        </w:rPr>
      </w:pPr>
      <w:r>
        <w:rPr>
          <w:rFonts w:hint="default" w:ascii="Times New Roman" w:hAnsi="Times New Roman" w:eastAsia="黑体" w:cs="Times New Roman"/>
          <w:color w:val="0000FF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0000FF"/>
          <w:szCs w:val="22"/>
          <w:highlight w:val="none"/>
        </w:rPr>
        <w:t>.2</w:t>
      </w:r>
      <w:r>
        <w:rPr>
          <w:rFonts w:hint="default" w:ascii="Times New Roman" w:hAnsi="Times New Roman" w:eastAsia="黑体" w:cs="Times New Roman"/>
          <w:color w:val="0000FF"/>
          <w:szCs w:val="2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FF"/>
          <w:szCs w:val="21"/>
          <w:highlight w:val="none"/>
        </w:rPr>
        <w:t>硫酸</w:t>
      </w:r>
      <w:r>
        <w:rPr>
          <w:rFonts w:hint="default" w:ascii="Times New Roman" w:hAnsi="Times New Roman" w:eastAsia="宋体" w:cs="Times New Roman"/>
          <w:color w:val="0000FF"/>
          <w:kern w:val="2"/>
          <w:szCs w:val="22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0000FF"/>
          <w:kern w:val="2"/>
          <w:szCs w:val="22"/>
          <w:highlight w:val="none"/>
        </w:rPr>
        <w:t>ρ=1.</w:t>
      </w:r>
      <w:r>
        <w:rPr>
          <w:rFonts w:hint="default" w:ascii="Times New Roman" w:hAnsi="Times New Roman" w:eastAsia="宋体" w:cs="Times New Roman"/>
          <w:color w:val="0000FF"/>
          <w:kern w:val="2"/>
          <w:szCs w:val="22"/>
          <w:highlight w:val="none"/>
          <w:lang w:val="en-US" w:eastAsia="zh-CN"/>
        </w:rPr>
        <w:t>83</w:t>
      </w:r>
      <w:r>
        <w:rPr>
          <w:rFonts w:hint="default" w:ascii="Times New Roman" w:hAnsi="Times New Roman" w:eastAsia="宋体" w:cs="Times New Roman"/>
          <w:color w:val="0000FF"/>
          <w:kern w:val="2"/>
          <w:szCs w:val="22"/>
          <w:highlight w:val="none"/>
        </w:rPr>
        <w:t>g/mL</w:t>
      </w:r>
      <w:r>
        <w:rPr>
          <w:rFonts w:hint="default" w:ascii="Times New Roman" w:hAnsi="Times New Roman" w:eastAsia="宋体" w:cs="Times New Roman"/>
          <w:color w:val="0000FF"/>
          <w:kern w:val="2"/>
          <w:szCs w:val="22"/>
          <w:highlight w:val="none"/>
          <w:lang w:eastAsia="zh-CN"/>
        </w:rPr>
        <w:t>），</w:t>
      </w:r>
      <w:r>
        <w:rPr>
          <w:rFonts w:hint="default" w:ascii="Times New Roman" w:hAnsi="Times New Roman" w:eastAsia="宋体" w:cs="Times New Roman"/>
          <w:color w:val="0000FF"/>
          <w:kern w:val="2"/>
          <w:szCs w:val="22"/>
          <w:highlight w:val="none"/>
        </w:rPr>
        <w:t>优级纯</w:t>
      </w:r>
      <w:r>
        <w:rPr>
          <w:rFonts w:hint="default" w:ascii="Times New Roman" w:hAnsi="Times New Roman" w:cs="Times New Roman"/>
          <w:color w:val="0000FF"/>
          <w:szCs w:val="21"/>
          <w:highlight w:val="none"/>
        </w:rPr>
        <w:t>。</w:t>
      </w:r>
    </w:p>
    <w:p>
      <w:pPr>
        <w:pStyle w:val="22"/>
        <w:numPr>
          <w:ilvl w:val="0"/>
          <w:numId w:val="0"/>
        </w:numPr>
        <w:spacing w:beforeLines="0" w:afterLines="0"/>
        <w:rPr>
          <w:rFonts w:hint="default" w:ascii="Times New Roman" w:hAnsi="Times New Roman" w:eastAsia="宋体" w:cs="Times New Roman"/>
          <w:color w:val="0000FF"/>
          <w:szCs w:val="21"/>
          <w:highlight w:val="none"/>
        </w:rPr>
      </w:pPr>
      <w:r>
        <w:rPr>
          <w:rFonts w:hint="default" w:ascii="Times New Roman" w:hAnsi="Times New Roman" w:cs="Times New Roman"/>
          <w:color w:val="0000FF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FF"/>
          <w:szCs w:val="21"/>
          <w:highlight w:val="none"/>
        </w:rPr>
        <w:t>.3</w:t>
      </w:r>
      <w:r>
        <w:rPr>
          <w:rFonts w:hint="default" w:ascii="Times New Roman" w:hAnsi="Times New Roman" w:cs="Times New Roman"/>
          <w:color w:val="0000FF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FF"/>
          <w:szCs w:val="21"/>
          <w:highlight w:val="none"/>
        </w:rPr>
        <w:t>盐酸（1mol/L）</w:t>
      </w:r>
      <w:r>
        <w:rPr>
          <w:rFonts w:hint="default" w:ascii="Times New Roman" w:hAnsi="Times New Roman" w:eastAsia="宋体" w:cs="Times New Roman"/>
          <w:color w:val="0000FF"/>
          <w:szCs w:val="21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0000FF"/>
          <w:kern w:val="2"/>
          <w:szCs w:val="22"/>
          <w:highlight w:val="none"/>
        </w:rPr>
        <w:t>优级纯</w:t>
      </w:r>
      <w:r>
        <w:rPr>
          <w:rFonts w:hint="default" w:ascii="Times New Roman" w:hAnsi="Times New Roman" w:eastAsia="宋体" w:cs="Times New Roman"/>
          <w:color w:val="0000FF"/>
          <w:szCs w:val="21"/>
          <w:highlight w:val="none"/>
        </w:rPr>
        <w:t>。</w:t>
      </w:r>
    </w:p>
    <w:p>
      <w:pPr>
        <w:pStyle w:val="22"/>
        <w:numPr>
          <w:ilvl w:val="0"/>
          <w:numId w:val="0"/>
        </w:numPr>
        <w:spacing w:beforeLines="0" w:afterLines="0"/>
        <w:rPr>
          <w:rFonts w:hint="default" w:ascii="Times New Roman" w:hAnsi="Times New Roman" w:eastAsia="宋体" w:cs="Times New Roman"/>
          <w:kern w:val="2"/>
          <w:szCs w:val="22"/>
        </w:rPr>
      </w:pPr>
      <w:r>
        <w:rPr>
          <w:rFonts w:hint="default" w:ascii="Times New Roman" w:hAnsi="Times New Roman" w:cs="Times New Roman"/>
          <w:kern w:val="2"/>
          <w:szCs w:val="22"/>
          <w:lang w:val="en-US" w:eastAsia="zh-CN"/>
        </w:rPr>
        <w:t>4</w:t>
      </w:r>
      <w:r>
        <w:rPr>
          <w:rFonts w:hint="default" w:ascii="Times New Roman" w:hAnsi="Times New Roman" w:cs="Times New Roman"/>
          <w:kern w:val="2"/>
          <w:szCs w:val="22"/>
        </w:rPr>
        <w:t>.4</w:t>
      </w:r>
      <w:r>
        <w:rPr>
          <w:rFonts w:hint="default" w:ascii="Times New Roman" w:hAnsi="Times New Roman" w:cs="Times New Roman"/>
          <w:kern w:val="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2"/>
          <w:szCs w:val="22"/>
        </w:rPr>
        <w:t xml:space="preserve"> </w:t>
      </w:r>
      <w:r>
        <w:rPr>
          <w:rFonts w:hint="default" w:ascii="Times New Roman" w:hAnsi="Times New Roman" w:eastAsia="宋体" w:cs="Times New Roman"/>
          <w:szCs w:val="21"/>
        </w:rPr>
        <w:t>氢氧化钠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溶液</w:t>
      </w:r>
      <w:r>
        <w:rPr>
          <w:rFonts w:hint="default" w:ascii="Times New Roman" w:hAnsi="Times New Roman" w:eastAsia="宋体" w:cs="Times New Roman"/>
          <w:szCs w:val="21"/>
        </w:rPr>
        <w:t>（1moL）。</w:t>
      </w:r>
    </w:p>
    <w:p>
      <w:pPr>
        <w:pStyle w:val="5"/>
        <w:rPr>
          <w:rFonts w:hint="default" w:ascii="Times New Roman" w:hAnsi="Times New Roman" w:cs="Times New Roman"/>
          <w:szCs w:val="22"/>
        </w:rPr>
      </w:pPr>
      <w:r>
        <w:rPr>
          <w:rFonts w:hint="default" w:ascii="Times New Roman" w:hAnsi="Times New Roman" w:eastAsia="黑体" w:cs="Times New Roman"/>
          <w:szCs w:val="2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Cs w:val="22"/>
        </w:rPr>
        <w:t xml:space="preserve">.5 </w:t>
      </w:r>
      <w:r>
        <w:rPr>
          <w:rFonts w:hint="default" w:ascii="Times New Roman" w:hAnsi="Times New Roman" w:eastAsia="黑体" w:cs="Times New Roman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轻质氧化镁：将氧化镁置于500℃马弗炉中灼烧一小时，除去碳酸盐 。</w:t>
      </w:r>
    </w:p>
    <w:p>
      <w:pPr>
        <w:pStyle w:val="22"/>
        <w:numPr>
          <w:ilvl w:val="0"/>
          <w:numId w:val="0"/>
        </w:numPr>
        <w:spacing w:beforeLines="0" w:afterLines="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cs="Times New Roman"/>
          <w:kern w:val="2"/>
          <w:szCs w:val="22"/>
          <w:lang w:val="en-US" w:eastAsia="zh-CN"/>
        </w:rPr>
        <w:t>4</w:t>
      </w:r>
      <w:r>
        <w:rPr>
          <w:rFonts w:hint="default" w:ascii="Times New Roman" w:hAnsi="Times New Roman" w:cs="Times New Roman"/>
          <w:kern w:val="2"/>
          <w:szCs w:val="22"/>
        </w:rPr>
        <w:t>.6</w:t>
      </w:r>
      <w:r>
        <w:rPr>
          <w:rFonts w:hint="default" w:ascii="Times New Roman" w:hAnsi="Times New Roman" w:cs="Times New Roman"/>
          <w:kern w:val="2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Cs w:val="21"/>
        </w:rPr>
        <w:t>溴百里酚蓝指示剂（0.05%）。</w:t>
      </w:r>
    </w:p>
    <w:p>
      <w:pPr>
        <w:pStyle w:val="19"/>
        <w:ind w:firstLine="0" w:firstLineChars="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黑体" w:cs="Times New Roman"/>
          <w:szCs w:val="21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Cs w:val="21"/>
        </w:rPr>
        <w:t xml:space="preserve">.7  </w:t>
      </w:r>
      <w:r>
        <w:rPr>
          <w:rFonts w:hint="default" w:ascii="Times New Roman" w:hAnsi="Times New Roman" w:cs="Times New Roman"/>
          <w:szCs w:val="21"/>
        </w:rPr>
        <w:t>硼酸（20g/L）。</w:t>
      </w:r>
    </w:p>
    <w:p>
      <w:pPr>
        <w:tabs>
          <w:tab w:val="left" w:pos="0"/>
        </w:tabs>
        <w:adjustRightInd w:val="0"/>
        <w:jc w:val="left"/>
        <w:textAlignment w:val="baseline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eastAsia="黑体" w:cs="Times New Roman"/>
          <w:szCs w:val="21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Cs w:val="21"/>
        </w:rPr>
        <w:t xml:space="preserve">.8  </w:t>
      </w:r>
      <w:r>
        <w:rPr>
          <w:rFonts w:hint="default" w:ascii="Times New Roman" w:hAnsi="Times New Roman" w:cs="Times New Roman"/>
          <w:kern w:val="0"/>
          <w:szCs w:val="21"/>
        </w:rPr>
        <w:t>浸提剂：将质量比为2:1的硫酸（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kern w:val="0"/>
          <w:szCs w:val="21"/>
        </w:rPr>
        <w:t>.2）和硝酸（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kern w:val="0"/>
          <w:szCs w:val="21"/>
        </w:rPr>
        <w:t>.1）混合液加入纯水中，将酸度调至pH=3.2</w:t>
      </w:r>
      <w:r>
        <w:rPr>
          <w:rFonts w:hint="default" w:ascii="Times New Roman" w:hAnsi="Times New Roman" w:cs="Times New Roman"/>
          <w:kern w:val="0"/>
          <w:szCs w:val="21"/>
          <w:highlight w:val="yellow"/>
          <w:lang w:val="en-US" w:eastAsia="zh-CN"/>
        </w:rPr>
        <w:t>0</w:t>
      </w:r>
      <w:r>
        <w:rPr>
          <w:rFonts w:hint="default" w:ascii="Times New Roman" w:hAnsi="Times New Roman" w:cs="Times New Roman"/>
          <w:kern w:val="0"/>
          <w:szCs w:val="21"/>
        </w:rPr>
        <w:t>±0.05。</w:t>
      </w:r>
    </w:p>
    <w:p>
      <w:pPr>
        <w:pStyle w:val="5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eastAsia="黑体" w:cs="Times New Roman"/>
          <w:kern w:val="0"/>
          <w:szCs w:val="21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kern w:val="0"/>
          <w:szCs w:val="21"/>
        </w:rPr>
        <w:t xml:space="preserve">.9  </w:t>
      </w:r>
      <w:r>
        <w:rPr>
          <w:rFonts w:hint="default" w:ascii="Times New Roman" w:hAnsi="Times New Roman" w:cs="Times New Roman"/>
          <w:kern w:val="0"/>
          <w:szCs w:val="21"/>
        </w:rPr>
        <w:t>酒石酸钾钠溶液：称取50g酒石酸钾钠溶于100mL水中，加热煮沸以除去氨，冷却，移入聚乙烯瓶中，密封保存。</w:t>
      </w:r>
    </w:p>
    <w:p>
      <w:pPr>
        <w:pStyle w:val="5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eastAsia="黑体" w:cs="Times New Roman"/>
          <w:kern w:val="0"/>
          <w:szCs w:val="21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kern w:val="0"/>
          <w:szCs w:val="21"/>
        </w:rPr>
        <w:t xml:space="preserve">.10  </w:t>
      </w:r>
      <w:r>
        <w:rPr>
          <w:rFonts w:hint="default" w:ascii="Times New Roman" w:hAnsi="Times New Roman" w:cs="Times New Roman"/>
          <w:kern w:val="0"/>
          <w:szCs w:val="21"/>
        </w:rPr>
        <w:t>纳氏试剂：称取16g氢氧化钠，溶于50mL水中，充分冷却至室温。另称取7g碘化钾和10g碘化汞溶于水，将此溶液在搅拌下缓慢加入氢氧化钠溶液中，以水稀释至100mL，将上清液移入聚乙烯瓶中，密封保存。</w:t>
      </w:r>
    </w:p>
    <w:p>
      <w:pPr>
        <w:pStyle w:val="5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eastAsia="黑体" w:cs="Times New Roman"/>
          <w:kern w:val="0"/>
          <w:szCs w:val="21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kern w:val="0"/>
          <w:szCs w:val="21"/>
        </w:rPr>
        <w:t xml:space="preserve">.11  </w:t>
      </w:r>
      <w:r>
        <w:rPr>
          <w:rFonts w:hint="default" w:ascii="Times New Roman" w:hAnsi="Times New Roman" w:cs="Times New Roman"/>
          <w:kern w:val="0"/>
          <w:szCs w:val="21"/>
        </w:rPr>
        <w:t>氨氮标准贮存溶液：称取</w:t>
      </w:r>
      <w:r>
        <w:rPr>
          <w:rFonts w:hint="default" w:ascii="Times New Roman" w:hAnsi="Times New Roman" w:cs="Times New Roman"/>
          <w:kern w:val="0"/>
          <w:szCs w:val="21"/>
          <w:highlight w:val="none"/>
        </w:rPr>
        <w:t>3.8910g在105℃～110</w:t>
      </w:r>
      <w:r>
        <w:rPr>
          <w:rFonts w:hint="default" w:ascii="Times New Roman" w:hAnsi="Times New Roman" w:cs="Times New Roman"/>
          <w:kern w:val="0"/>
          <w:szCs w:val="21"/>
        </w:rPr>
        <w:t>℃干燥至恒量的</w:t>
      </w:r>
      <w:r>
        <w:rPr>
          <w:rFonts w:hint="default" w:ascii="Times New Roman" w:hAnsi="Times New Roman" w:cs="Times New Roman"/>
          <w:color w:val="FF0000"/>
          <w:kern w:val="0"/>
          <w:szCs w:val="21"/>
        </w:rPr>
        <w:t>氯化氨（优级纯）</w:t>
      </w:r>
      <w:r>
        <w:rPr>
          <w:rFonts w:hint="default" w:ascii="Times New Roman" w:hAnsi="Times New Roman" w:cs="Times New Roman"/>
          <w:kern w:val="0"/>
          <w:szCs w:val="21"/>
        </w:rPr>
        <w:t>于250mL烧杯中，用水溶解移入1000mL容量瓶中，以水稀释至刻度，混匀，此溶液1mL含1mg氨氮。</w:t>
      </w:r>
    </w:p>
    <w:p>
      <w:pPr>
        <w:pStyle w:val="5"/>
        <w:rPr>
          <w:rFonts w:hint="default" w:ascii="Times New Roman" w:hAnsi="Times New Roman" w:cs="Times New Roman"/>
          <w:kern w:val="0"/>
          <w:szCs w:val="21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567" w:right="1134" w:bottom="1134" w:left="1418" w:header="1417" w:footer="1134" w:gutter="0"/>
          <w:pgNumType w:fmt="decimal" w:start="1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kern w:val="0"/>
          <w:szCs w:val="21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kern w:val="0"/>
          <w:szCs w:val="21"/>
        </w:rPr>
        <w:t xml:space="preserve">.12  </w:t>
      </w:r>
      <w:r>
        <w:rPr>
          <w:rFonts w:hint="default" w:ascii="Times New Roman" w:hAnsi="Times New Roman" w:cs="Times New Roman"/>
          <w:kern w:val="0"/>
          <w:szCs w:val="21"/>
        </w:rPr>
        <w:t>氨氮标准溶液：移取5.00mL氨氮标准贮存溶液（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kern w:val="0"/>
          <w:szCs w:val="21"/>
        </w:rPr>
        <w:t>.11）至500mL容量瓶中，以水稀释至刻度，</w:t>
      </w:r>
    </w:p>
    <w:p>
      <w:pPr>
        <w:pStyle w:val="5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混匀。此溶液1mL含10μg氨氮。</w:t>
      </w:r>
    </w:p>
    <w:p>
      <w:pPr>
        <w:pStyle w:val="5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黑体" w:cs="Times New Roman"/>
          <w:kern w:val="0"/>
          <w:szCs w:val="21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kern w:val="0"/>
          <w:szCs w:val="21"/>
        </w:rPr>
        <w:t xml:space="preserve">.13  </w:t>
      </w:r>
      <w:r>
        <w:rPr>
          <w:rFonts w:hint="default" w:ascii="Times New Roman" w:hAnsi="Times New Roman" w:cs="Times New Roman"/>
          <w:kern w:val="0"/>
          <w:szCs w:val="21"/>
        </w:rPr>
        <w:t>防爆沸颗粒。</w:t>
      </w:r>
    </w:p>
    <w:p>
      <w:pPr>
        <w:pStyle w:val="22"/>
        <w:spacing w:before="312" w:after="312"/>
      </w:pPr>
      <w:r>
        <w:rPr>
          <w:rFonts w:hint="eastAsia"/>
        </w:rPr>
        <w:t>仪器</w:t>
      </w:r>
      <w:r>
        <w:rPr>
          <w:rFonts w:hint="eastAsia"/>
          <w:lang w:eastAsia="zh-CN"/>
        </w:rPr>
        <w:t>设备</w:t>
      </w:r>
    </w:p>
    <w:p>
      <w:pPr>
        <w:pStyle w:val="5"/>
        <w:rPr>
          <w:rFonts w:ascii="Times New Roman"/>
          <w:szCs w:val="22"/>
        </w:rPr>
      </w:pPr>
      <w:r>
        <w:rPr>
          <w:rFonts w:hint="eastAsia" w:ascii="黑体" w:hAnsi="黑体" w:eastAsia="黑体"/>
          <w:szCs w:val="22"/>
          <w:lang w:val="en-US" w:eastAsia="zh-CN"/>
        </w:rPr>
        <w:t>5</w:t>
      </w:r>
      <w:r>
        <w:rPr>
          <w:rFonts w:hint="eastAsia" w:ascii="黑体" w:hAnsi="黑体" w:eastAsia="黑体"/>
          <w:szCs w:val="22"/>
        </w:rPr>
        <w:t>.1</w:t>
      </w:r>
      <w:r>
        <w:rPr>
          <w:rFonts w:hint="eastAsia" w:ascii="黑体" w:hAnsi="黑体" w:eastAsia="黑体"/>
          <w:szCs w:val="22"/>
          <w:lang w:val="en-US" w:eastAsia="zh-CN"/>
        </w:rPr>
        <w:t xml:space="preserve">  </w:t>
      </w:r>
      <w:r>
        <w:rPr>
          <w:rFonts w:hint="eastAsia" w:hAnsi="宋体" w:cs="宋体"/>
          <w:szCs w:val="21"/>
        </w:rPr>
        <w:t>分析天平：感量</w:t>
      </w:r>
      <w:r>
        <w:rPr>
          <w:rFonts w:hint="eastAsia" w:ascii="Times New Roman" w:hAnsi="Times New Roman"/>
          <w:szCs w:val="21"/>
        </w:rPr>
        <w:t>0.1mg</w:t>
      </w:r>
      <w:r>
        <w:rPr>
          <w:rFonts w:hint="eastAsia" w:hAnsi="宋体" w:cs="宋体"/>
          <w:sz w:val="24"/>
          <w:szCs w:val="24"/>
        </w:rPr>
        <w:t>。</w:t>
      </w:r>
    </w:p>
    <w:p>
      <w:pPr>
        <w:pStyle w:val="22"/>
        <w:numPr>
          <w:ilvl w:val="0"/>
          <w:numId w:val="0"/>
        </w:numPr>
        <w:spacing w:beforeLines="0" w:afterLines="0"/>
        <w:rPr>
          <w:rFonts w:ascii="Times New Roman" w:eastAsia="宋体"/>
          <w:szCs w:val="21"/>
        </w:rPr>
      </w:pPr>
      <w:r>
        <w:rPr>
          <w:rFonts w:hint="eastAsia" w:hAnsi="宋体" w:cs="黑体"/>
          <w:kern w:val="2"/>
          <w:szCs w:val="22"/>
          <w:lang w:val="en-US" w:eastAsia="zh-CN"/>
        </w:rPr>
        <w:t>5</w:t>
      </w:r>
      <w:r>
        <w:rPr>
          <w:rFonts w:hint="eastAsia" w:hAnsi="宋体" w:cs="黑体"/>
          <w:kern w:val="2"/>
          <w:szCs w:val="22"/>
        </w:rPr>
        <w:t xml:space="preserve">.2  </w:t>
      </w:r>
      <w:r>
        <w:rPr>
          <w:rFonts w:ascii="Times New Roman" w:eastAsia="宋体"/>
          <w:szCs w:val="21"/>
        </w:rPr>
        <w:t>带氮球的定氮蒸馏装置：500mL凯氏烧瓶、定氮球、直形冷凝管、导管</w:t>
      </w:r>
    </w:p>
    <w:p>
      <w:pPr>
        <w:pStyle w:val="22"/>
        <w:numPr>
          <w:ilvl w:val="0"/>
          <w:numId w:val="0"/>
        </w:numPr>
        <w:spacing w:beforeLines="0" w:afterLines="0"/>
        <w:rPr>
          <w:rFonts w:ascii="Times New Roman" w:eastAsia="宋体"/>
          <w:szCs w:val="21"/>
        </w:rPr>
      </w:pPr>
      <w:r>
        <w:rPr>
          <w:rFonts w:hint="eastAsia" w:hAnsi="宋体" w:cs="黑体"/>
          <w:kern w:val="2"/>
          <w:szCs w:val="22"/>
          <w:lang w:val="en-US" w:eastAsia="zh-CN"/>
        </w:rPr>
        <w:t>5</w:t>
      </w:r>
      <w:r>
        <w:rPr>
          <w:rFonts w:hint="eastAsia" w:hAnsi="宋体" w:cs="黑体"/>
          <w:kern w:val="2"/>
          <w:szCs w:val="22"/>
        </w:rPr>
        <w:t xml:space="preserve">.3  </w:t>
      </w:r>
      <w:r>
        <w:rPr>
          <w:rFonts w:hint="eastAsia" w:ascii="Times New Roman" w:eastAsia="宋体"/>
          <w:szCs w:val="21"/>
        </w:rPr>
        <w:t>分光光度计</w:t>
      </w:r>
    </w:p>
    <w:p>
      <w:pPr>
        <w:pStyle w:val="5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5</w:t>
      </w:r>
      <w:r>
        <w:rPr>
          <w:rFonts w:hint="eastAsia" w:ascii="黑体" w:hAnsi="黑体" w:eastAsia="黑体"/>
          <w:kern w:val="0"/>
          <w:szCs w:val="21"/>
        </w:rPr>
        <w:t xml:space="preserve">.4  </w:t>
      </w:r>
      <w:r>
        <w:rPr>
          <w:rFonts w:hint="eastAsia" w:ascii="Times New Roman" w:hAnsi="Times New Roman" w:cs="Times New Roman"/>
          <w:kern w:val="0"/>
          <w:szCs w:val="21"/>
        </w:rPr>
        <w:t>电动搅拌机</w:t>
      </w:r>
    </w:p>
    <w:p>
      <w:pPr>
        <w:pStyle w:val="24"/>
        <w:tabs>
          <w:tab w:val="left" w:pos="900"/>
          <w:tab w:val="left" w:pos="1080"/>
        </w:tabs>
        <w:ind w:firstLine="0" w:firstLineChars="0"/>
        <w:rPr>
          <w:rFonts w:cs="Times New Roman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5</w:t>
      </w:r>
      <w:r>
        <w:rPr>
          <w:rFonts w:hint="eastAsia" w:ascii="黑体" w:hAnsi="黑体" w:eastAsia="黑体"/>
          <w:kern w:val="0"/>
          <w:szCs w:val="21"/>
        </w:rPr>
        <w:t xml:space="preserve">.5  </w:t>
      </w:r>
      <w:r>
        <w:rPr>
          <w:rFonts w:cs="Times New Roman"/>
          <w:kern w:val="0"/>
          <w:szCs w:val="21"/>
        </w:rPr>
        <w:t>pH计（精度为±0.05）</w:t>
      </w:r>
    </w:p>
    <w:p>
      <w:pPr>
        <w:pStyle w:val="22"/>
        <w:spacing w:before="312" w:after="312"/>
      </w:pPr>
      <w:r>
        <w:rPr>
          <w:rFonts w:hint="eastAsia"/>
        </w:rPr>
        <w:t>试样</w:t>
      </w:r>
    </w:p>
    <w:p>
      <w:pPr>
        <w:pStyle w:val="22"/>
        <w:numPr>
          <w:ilvl w:val="0"/>
          <w:numId w:val="0"/>
        </w:numPr>
        <w:spacing w:beforeLines="0" w:afterLines="0"/>
        <w:rPr>
          <w:rFonts w:ascii="Times New Roman" w:eastAsia="宋体"/>
          <w:kern w:val="2"/>
          <w:szCs w:val="22"/>
          <w:highlight w:val="none"/>
        </w:rPr>
      </w:pPr>
      <w:r>
        <w:rPr>
          <w:rFonts w:hint="eastAsia" w:ascii="Times New Roman" w:hAnsi="宋体" w:eastAsia="宋体"/>
          <w:kern w:val="2"/>
          <w:szCs w:val="22"/>
          <w:highlight w:val="none"/>
        </w:rPr>
        <w:t>6.1  稀土废水：</w:t>
      </w:r>
      <w:r>
        <w:rPr>
          <w:rFonts w:ascii="Times New Roman" w:hAnsi="宋体" w:eastAsia="宋体"/>
          <w:kern w:val="2"/>
          <w:szCs w:val="22"/>
          <w:highlight w:val="none"/>
        </w:rPr>
        <w:t>实验室样品应在聚乙烯瓶中采集或保存，应尽快分析，实验前将样品混匀或摇匀。如需保存，应加</w:t>
      </w:r>
      <w:r>
        <w:rPr>
          <w:rFonts w:hint="eastAsia" w:ascii="Times New Roman" w:hAnsi="宋体" w:eastAsia="宋体"/>
          <w:kern w:val="2"/>
          <w:szCs w:val="22"/>
          <w:highlight w:val="none"/>
        </w:rPr>
        <w:t>硝酸</w:t>
      </w:r>
      <w:r>
        <w:rPr>
          <w:rFonts w:ascii="Times New Roman" w:hAnsi="宋体" w:eastAsia="宋体"/>
          <w:kern w:val="2"/>
          <w:szCs w:val="22"/>
          <w:highlight w:val="none"/>
        </w:rPr>
        <w:t>使水样酸化至</w:t>
      </w:r>
      <w:r>
        <w:rPr>
          <w:rFonts w:ascii="Times New Roman" w:eastAsia="宋体"/>
          <w:kern w:val="2"/>
          <w:szCs w:val="22"/>
          <w:highlight w:val="none"/>
        </w:rPr>
        <w:t>pH</w:t>
      </w:r>
      <w:r>
        <w:rPr>
          <w:rFonts w:ascii="Times New Roman" w:hAnsi="宋体" w:eastAsia="宋体"/>
          <w:kern w:val="2"/>
          <w:szCs w:val="22"/>
          <w:highlight w:val="none"/>
        </w:rPr>
        <w:t>＜</w:t>
      </w:r>
      <w:r>
        <w:rPr>
          <w:rFonts w:ascii="Times New Roman" w:eastAsia="宋体"/>
          <w:kern w:val="2"/>
          <w:szCs w:val="22"/>
          <w:highlight w:val="none"/>
        </w:rPr>
        <w:t>2</w:t>
      </w:r>
      <w:r>
        <w:rPr>
          <w:rFonts w:ascii="Times New Roman" w:hAnsi="宋体" w:eastAsia="宋体"/>
          <w:kern w:val="2"/>
          <w:szCs w:val="22"/>
          <w:highlight w:val="none"/>
        </w:rPr>
        <w:t>，</w:t>
      </w:r>
      <w:r>
        <w:rPr>
          <w:rFonts w:ascii="Times New Roman" w:eastAsia="宋体"/>
          <w:kern w:val="2"/>
          <w:szCs w:val="22"/>
          <w:highlight w:val="none"/>
        </w:rPr>
        <w:t>2</w:t>
      </w:r>
      <w:r>
        <w:rPr>
          <w:rFonts w:ascii="Times New Roman" w:hAnsi="宋体" w:eastAsia="宋体"/>
          <w:kern w:val="2"/>
          <w:szCs w:val="22"/>
          <w:highlight w:val="none"/>
        </w:rPr>
        <w:t>～</w:t>
      </w:r>
      <w:r>
        <w:rPr>
          <w:rFonts w:ascii="Times New Roman" w:eastAsia="宋体"/>
          <w:kern w:val="2"/>
          <w:szCs w:val="22"/>
          <w:highlight w:val="none"/>
        </w:rPr>
        <w:t>5</w:t>
      </w:r>
      <w:r>
        <w:rPr>
          <w:rFonts w:ascii="Times New Roman" w:hAnsi="宋体" w:eastAsia="宋体"/>
          <w:kern w:val="2"/>
          <w:szCs w:val="22"/>
          <w:highlight w:val="none"/>
        </w:rPr>
        <w:t>℃下可保存</w:t>
      </w:r>
      <w:r>
        <w:rPr>
          <w:rFonts w:ascii="Times New Roman" w:eastAsia="宋体"/>
          <w:kern w:val="2"/>
          <w:szCs w:val="22"/>
          <w:highlight w:val="none"/>
        </w:rPr>
        <w:t xml:space="preserve">7 </w:t>
      </w:r>
      <w:r>
        <w:rPr>
          <w:rFonts w:hint="eastAsia" w:ascii="Times New Roman" w:eastAsia="宋体"/>
          <w:kern w:val="2"/>
          <w:szCs w:val="22"/>
          <w:highlight w:val="none"/>
        </w:rPr>
        <w:t>天</w:t>
      </w:r>
      <w:r>
        <w:rPr>
          <w:rFonts w:ascii="Times New Roman" w:hAnsi="宋体" w:eastAsia="宋体"/>
          <w:kern w:val="2"/>
          <w:szCs w:val="22"/>
          <w:highlight w:val="none"/>
        </w:rPr>
        <w:t>。</w:t>
      </w:r>
      <w:r>
        <w:rPr>
          <w:rFonts w:hint="eastAsia" w:ascii="Times New Roman" w:hAnsi="宋体" w:eastAsia="宋体"/>
          <w:kern w:val="2"/>
          <w:szCs w:val="22"/>
          <w:highlight w:val="none"/>
          <w:lang w:val="en-US" w:eastAsia="zh-CN"/>
        </w:rPr>
        <w:t>若样品含大量有机物或有浑浊沉淀，应先干过滤后检测。</w:t>
      </w:r>
    </w:p>
    <w:p>
      <w:pPr>
        <w:pStyle w:val="22"/>
        <w:numPr>
          <w:ilvl w:val="0"/>
          <w:numId w:val="0"/>
        </w:numPr>
        <w:spacing w:beforeLines="0" w:afterLines="0"/>
        <w:rPr>
          <w:strike/>
          <w:dstrike w:val="0"/>
          <w:highlight w:val="cyan"/>
        </w:rPr>
      </w:pPr>
      <w:r>
        <w:rPr>
          <w:rFonts w:hint="eastAsia"/>
          <w:kern w:val="2"/>
          <w:szCs w:val="22"/>
          <w:highlight w:val="none"/>
        </w:rPr>
        <w:t xml:space="preserve">6.2 </w:t>
      </w:r>
      <w:r>
        <w:rPr>
          <w:rFonts w:hint="eastAsia"/>
          <w:kern w:val="2"/>
          <w:szCs w:val="22"/>
          <w:highlight w:val="none"/>
          <w:lang w:val="en-US" w:eastAsia="zh-CN"/>
        </w:rPr>
        <w:t xml:space="preserve"> </w:t>
      </w:r>
      <w:r>
        <w:rPr>
          <w:rFonts w:ascii="Times New Roman" w:hAnsi="宋体" w:eastAsia="宋体"/>
          <w:kern w:val="2"/>
          <w:szCs w:val="22"/>
          <w:highlight w:val="none"/>
        </w:rPr>
        <w:t>稀土废渣</w:t>
      </w:r>
      <w:r>
        <w:rPr>
          <w:rFonts w:hint="eastAsia" w:ascii="Times New Roman" w:hAnsi="宋体" w:eastAsia="宋体"/>
          <w:kern w:val="2"/>
          <w:szCs w:val="22"/>
          <w:highlight w:val="none"/>
        </w:rPr>
        <w:t>：</w:t>
      </w:r>
      <w:r>
        <w:rPr>
          <w:rFonts w:ascii="Times New Roman" w:hAnsi="宋体" w:eastAsia="宋体"/>
          <w:kern w:val="2"/>
          <w:szCs w:val="22"/>
          <w:highlight w:val="none"/>
        </w:rPr>
        <w:t>试样</w:t>
      </w:r>
      <w:r>
        <w:rPr>
          <w:rFonts w:ascii="Times New Roman" w:eastAsia="宋体"/>
          <w:kern w:val="2"/>
          <w:szCs w:val="22"/>
          <w:highlight w:val="none"/>
        </w:rPr>
        <w:t>105</w:t>
      </w:r>
      <w:r>
        <w:rPr>
          <w:rFonts w:ascii="Times New Roman" w:hAnsi="宋体" w:eastAsia="宋体"/>
          <w:kern w:val="2"/>
          <w:szCs w:val="22"/>
          <w:highlight w:val="none"/>
        </w:rPr>
        <w:t>℃烘干后粉碎，颗粒过</w:t>
      </w:r>
      <w:r>
        <w:rPr>
          <w:rFonts w:ascii="Times New Roman" w:eastAsia="宋体"/>
          <w:kern w:val="2"/>
          <w:szCs w:val="22"/>
          <w:highlight w:val="none"/>
        </w:rPr>
        <w:t>40</w:t>
      </w:r>
      <w:r>
        <w:rPr>
          <w:rFonts w:ascii="Times New Roman" w:hAnsi="宋体" w:eastAsia="宋体"/>
          <w:kern w:val="2"/>
          <w:szCs w:val="22"/>
          <w:highlight w:val="none"/>
        </w:rPr>
        <w:t>目筛。</w:t>
      </w:r>
      <w:r>
        <w:rPr>
          <w:rFonts w:ascii="Times New Roman" w:hAnsi="宋体" w:eastAsia="宋体"/>
          <w:color w:val="0000FF"/>
          <w:kern w:val="2"/>
          <w:szCs w:val="22"/>
          <w:highlight w:val="none"/>
        </w:rPr>
        <w:t>称取试样至烧杯，按液固比为</w:t>
      </w:r>
      <w:r>
        <w:rPr>
          <w:rFonts w:ascii="Times New Roman" w:eastAsia="宋体"/>
          <w:color w:val="0000FF"/>
          <w:kern w:val="2"/>
          <w:szCs w:val="22"/>
          <w:highlight w:val="none"/>
        </w:rPr>
        <w:t>10:1</w:t>
      </w:r>
      <w:r>
        <w:rPr>
          <w:rFonts w:ascii="Times New Roman" w:hAnsi="宋体" w:eastAsia="宋体"/>
          <w:color w:val="0000FF"/>
          <w:kern w:val="2"/>
          <w:szCs w:val="22"/>
          <w:highlight w:val="none"/>
        </w:rPr>
        <w:t>（</w:t>
      </w:r>
      <w:r>
        <w:rPr>
          <w:rFonts w:ascii="Times New Roman" w:eastAsia="宋体"/>
          <w:color w:val="0000FF"/>
          <w:kern w:val="2"/>
          <w:szCs w:val="22"/>
          <w:highlight w:val="none"/>
        </w:rPr>
        <w:t>L/kg</w:t>
      </w:r>
      <w:r>
        <w:rPr>
          <w:rFonts w:ascii="Times New Roman" w:hAnsi="宋体" w:eastAsia="宋体"/>
          <w:color w:val="0000FF"/>
          <w:kern w:val="2"/>
          <w:szCs w:val="22"/>
          <w:highlight w:val="none"/>
        </w:rPr>
        <w:t>）计算需注浸提剂（</w:t>
      </w:r>
      <w:r>
        <w:rPr>
          <w:rFonts w:hint="eastAsia" w:ascii="Times New Roman" w:eastAsia="宋体"/>
          <w:color w:val="0000FF"/>
          <w:kern w:val="2"/>
          <w:szCs w:val="22"/>
          <w:highlight w:val="none"/>
        </w:rPr>
        <w:t>4</w:t>
      </w:r>
      <w:r>
        <w:rPr>
          <w:rFonts w:ascii="Times New Roman" w:eastAsia="宋体"/>
          <w:color w:val="0000FF"/>
          <w:kern w:val="2"/>
          <w:szCs w:val="22"/>
          <w:highlight w:val="none"/>
        </w:rPr>
        <w:t>.9</w:t>
      </w:r>
      <w:r>
        <w:rPr>
          <w:rFonts w:ascii="Times New Roman" w:hAnsi="宋体" w:eastAsia="宋体"/>
          <w:color w:val="0000FF"/>
          <w:kern w:val="2"/>
          <w:szCs w:val="22"/>
          <w:highlight w:val="none"/>
        </w:rPr>
        <w:t>）的体积，准确转移相应体积的浸提剂（</w:t>
      </w:r>
      <w:r>
        <w:rPr>
          <w:rFonts w:hint="eastAsia" w:ascii="Times New Roman" w:eastAsia="宋体"/>
          <w:color w:val="0000FF"/>
          <w:kern w:val="2"/>
          <w:szCs w:val="22"/>
          <w:highlight w:val="none"/>
        </w:rPr>
        <w:t>4</w:t>
      </w:r>
      <w:r>
        <w:rPr>
          <w:rFonts w:ascii="Times New Roman" w:eastAsia="宋体"/>
          <w:color w:val="0000FF"/>
          <w:kern w:val="2"/>
          <w:szCs w:val="22"/>
          <w:highlight w:val="none"/>
        </w:rPr>
        <w:t>.9</w:t>
      </w:r>
      <w:r>
        <w:rPr>
          <w:rFonts w:ascii="Times New Roman" w:hAnsi="宋体" w:eastAsia="宋体"/>
          <w:color w:val="0000FF"/>
          <w:kern w:val="2"/>
          <w:szCs w:val="22"/>
          <w:highlight w:val="none"/>
        </w:rPr>
        <w:t>）至烧杯中，用转速为</w:t>
      </w:r>
      <w:r>
        <w:rPr>
          <w:rFonts w:ascii="Times New Roman" w:eastAsia="宋体"/>
          <w:color w:val="0000FF"/>
          <w:kern w:val="2"/>
          <w:szCs w:val="22"/>
          <w:highlight w:val="none"/>
        </w:rPr>
        <w:t>30±2r/mim</w:t>
      </w:r>
      <w:r>
        <w:rPr>
          <w:rFonts w:ascii="Times New Roman" w:hAnsi="宋体" w:eastAsia="宋体"/>
          <w:color w:val="0000FF"/>
          <w:kern w:val="2"/>
          <w:szCs w:val="22"/>
          <w:highlight w:val="none"/>
        </w:rPr>
        <w:t>电动搅拌机（</w:t>
      </w:r>
      <w:r>
        <w:rPr>
          <w:rFonts w:hint="eastAsia" w:ascii="Times New Roman" w:eastAsia="宋体"/>
          <w:color w:val="0000FF"/>
          <w:kern w:val="2"/>
          <w:szCs w:val="22"/>
          <w:highlight w:val="none"/>
        </w:rPr>
        <w:t>5.6</w:t>
      </w:r>
      <w:r>
        <w:rPr>
          <w:rFonts w:ascii="Times New Roman" w:hAnsi="宋体" w:eastAsia="宋体"/>
          <w:color w:val="0000FF"/>
          <w:kern w:val="2"/>
          <w:szCs w:val="22"/>
          <w:highlight w:val="none"/>
        </w:rPr>
        <w:t>）搅拌</w:t>
      </w:r>
      <w:r>
        <w:rPr>
          <w:rFonts w:ascii="Times New Roman" w:eastAsia="宋体"/>
          <w:color w:val="0000FF"/>
          <w:kern w:val="2"/>
          <w:szCs w:val="22"/>
          <w:highlight w:val="none"/>
        </w:rPr>
        <w:t>6</w:t>
      </w:r>
      <w:r>
        <w:rPr>
          <w:rFonts w:ascii="Times New Roman" w:hAnsi="宋体" w:eastAsia="宋体"/>
          <w:color w:val="0000FF"/>
          <w:kern w:val="2"/>
          <w:szCs w:val="22"/>
          <w:highlight w:val="none"/>
        </w:rPr>
        <w:t>小时后再浸泡</w:t>
      </w:r>
      <w:r>
        <w:rPr>
          <w:rFonts w:ascii="Times New Roman" w:eastAsia="宋体"/>
          <w:color w:val="0000FF"/>
          <w:kern w:val="2"/>
          <w:szCs w:val="22"/>
          <w:highlight w:val="none"/>
        </w:rPr>
        <w:t>14</w:t>
      </w:r>
      <w:r>
        <w:rPr>
          <w:rFonts w:ascii="Times New Roman" w:hAnsi="宋体" w:eastAsia="宋体"/>
          <w:color w:val="0000FF"/>
          <w:kern w:val="2"/>
          <w:szCs w:val="22"/>
          <w:highlight w:val="none"/>
        </w:rPr>
        <w:t>小时，过滤</w:t>
      </w:r>
      <w:r>
        <w:rPr>
          <w:rFonts w:hint="eastAsia" w:ascii="Times New Roman" w:hAnsi="宋体" w:eastAsia="宋体"/>
          <w:color w:val="0000FF"/>
          <w:kern w:val="2"/>
          <w:szCs w:val="22"/>
          <w:highlight w:val="none"/>
          <w:lang w:eastAsia="zh-CN"/>
        </w:rPr>
        <w:t>，</w:t>
      </w:r>
      <w:r>
        <w:rPr>
          <w:rFonts w:hint="eastAsia" w:ascii="Times New Roman" w:hAnsi="宋体" w:eastAsia="宋体"/>
          <w:color w:val="0000FF"/>
          <w:kern w:val="2"/>
          <w:szCs w:val="22"/>
          <w:highlight w:val="none"/>
        </w:rPr>
        <w:t>取</w:t>
      </w:r>
      <w:r>
        <w:rPr>
          <w:rFonts w:ascii="Times New Roman" w:hAnsi="宋体" w:eastAsia="宋体"/>
          <w:color w:val="0000FF"/>
          <w:kern w:val="2"/>
          <w:szCs w:val="22"/>
          <w:highlight w:val="none"/>
        </w:rPr>
        <w:t>浸取液</w:t>
      </w:r>
      <w:r>
        <w:rPr>
          <w:rFonts w:hint="eastAsia" w:ascii="Times New Roman" w:hAnsi="宋体" w:eastAsia="宋体"/>
          <w:color w:val="0000FF"/>
          <w:kern w:val="2"/>
          <w:szCs w:val="22"/>
          <w:highlight w:val="none"/>
          <w:lang w:eastAsia="zh-CN"/>
        </w:rPr>
        <w:t>，</w:t>
      </w:r>
      <w:r>
        <w:rPr>
          <w:rFonts w:ascii="Times New Roman" w:hAnsi="宋体" w:eastAsia="宋体"/>
          <w:color w:val="0000FF"/>
          <w:kern w:val="2"/>
          <w:szCs w:val="22"/>
          <w:highlight w:val="none"/>
        </w:rPr>
        <w:t>待测。</w:t>
      </w:r>
    </w:p>
    <w:p>
      <w:pPr>
        <w:pStyle w:val="22"/>
        <w:spacing w:before="312" w:after="312"/>
      </w:pPr>
      <w:r>
        <w:rPr>
          <w:rFonts w:hint="eastAsia"/>
        </w:rPr>
        <w:t xml:space="preserve">分析步骤 </w:t>
      </w:r>
    </w:p>
    <w:p>
      <w:pPr>
        <w:pStyle w:val="22"/>
        <w:numPr>
          <w:ilvl w:val="1"/>
          <w:numId w:val="1"/>
        </w:numPr>
        <w:spacing w:before="312" w:after="312"/>
        <w:rPr>
          <w:highlight w:val="none"/>
        </w:rPr>
      </w:pPr>
      <w:r>
        <w:rPr>
          <w:rFonts w:hint="eastAsia"/>
          <w:highlight w:val="none"/>
        </w:rPr>
        <w:t>试料</w:t>
      </w:r>
    </w:p>
    <w:p>
      <w:pPr>
        <w:pStyle w:val="2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420" w:firstLineChars="200"/>
        <w:jc w:val="both"/>
        <w:textAlignment w:val="auto"/>
        <w:outlineLvl w:val="1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  <w:shd w:val="clear" w:color="auto" w:fill="FFFFFF"/>
        </w:rPr>
        <w:t>移取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shd w:val="clear" w:color="auto" w:fill="FFFFFF"/>
          <w:lang w:val="en-US" w:eastAsia="zh-CN"/>
        </w:rPr>
        <w:t>适量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shd w:val="clear" w:color="auto" w:fill="FFFFFF"/>
        </w:rPr>
        <w:t>试</w:t>
      </w:r>
      <w:r>
        <w:rPr>
          <w:rFonts w:hint="eastAsia" w:asciiTheme="minorEastAsia" w:hAnsiTheme="minorEastAsia" w:eastAsiaTheme="minorEastAsia" w:cstheme="minorEastAsia"/>
          <w:strike w:val="0"/>
          <w:dstrike w:val="0"/>
          <w:szCs w:val="21"/>
          <w:highlight w:val="none"/>
          <w:shd w:val="clear" w:color="auto" w:fill="FFFFFF"/>
          <w:lang w:eastAsia="zh-CN"/>
        </w:rPr>
        <w:t>样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shd w:val="clear" w:color="auto" w:fill="FFFFFF"/>
        </w:rPr>
        <w:t>（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shd w:val="clear" w:color="auto" w:fill="FFFFFF"/>
        </w:rPr>
        <w:t>）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shd w:val="clear" w:color="auto" w:fill="FFFFFF"/>
          <w:lang w:eastAsia="zh-CN"/>
        </w:rPr>
        <w:t>。</w:t>
      </w:r>
    </w:p>
    <w:p>
      <w:pPr>
        <w:pStyle w:val="22"/>
        <w:numPr>
          <w:ilvl w:val="1"/>
          <w:numId w:val="1"/>
        </w:numPr>
        <w:spacing w:before="312" w:after="312"/>
        <w:rPr>
          <w:highlight w:val="none"/>
        </w:rPr>
      </w:pPr>
      <w:r>
        <w:rPr>
          <w:rFonts w:hint="eastAsia"/>
          <w:highlight w:val="none"/>
        </w:rPr>
        <w:t>测定次数</w:t>
      </w:r>
    </w:p>
    <w:p>
      <w:pPr>
        <w:pStyle w:val="19"/>
      </w:pPr>
      <w:r>
        <w:rPr>
          <w:rFonts w:hint="eastAsia" w:ascii="Times New Roman" w:hAnsi="Times New Roman"/>
          <w:szCs w:val="21"/>
          <w:highlight w:val="none"/>
        </w:rPr>
        <w:t>移取</w:t>
      </w:r>
      <w:r>
        <w:rPr>
          <w:rFonts w:ascii="Times New Roman" w:hAnsi="Times New Roman"/>
          <w:szCs w:val="21"/>
          <w:highlight w:val="none"/>
        </w:rPr>
        <w:t>两份</w:t>
      </w:r>
      <w:r>
        <w:rPr>
          <w:rFonts w:hint="eastAsia" w:ascii="Times New Roman" w:hAnsi="Times New Roman"/>
          <w:szCs w:val="21"/>
          <w:highlight w:val="none"/>
        </w:rPr>
        <w:t>试</w:t>
      </w:r>
      <w:r>
        <w:rPr>
          <w:rFonts w:hint="eastAsia" w:ascii="Times New Roman"/>
          <w:szCs w:val="21"/>
          <w:highlight w:val="none"/>
          <w:lang w:eastAsia="zh-CN"/>
        </w:rPr>
        <w:t>料（</w:t>
      </w:r>
      <w:r>
        <w:rPr>
          <w:rFonts w:hint="eastAsia" w:ascii="Times New Roman"/>
          <w:szCs w:val="21"/>
          <w:highlight w:val="none"/>
          <w:lang w:val="en-US" w:eastAsia="zh-CN"/>
        </w:rPr>
        <w:t>7.1）</w:t>
      </w:r>
      <w:r>
        <w:rPr>
          <w:rFonts w:ascii="Times New Roman" w:hAnsi="Times New Roman"/>
          <w:szCs w:val="21"/>
          <w:highlight w:val="none"/>
        </w:rPr>
        <w:t>进</w:t>
      </w:r>
      <w:r>
        <w:rPr>
          <w:rFonts w:ascii="Times New Roman" w:hAnsi="Times New Roman"/>
          <w:szCs w:val="21"/>
        </w:rPr>
        <w:t>行平行测定，取其平均值。</w:t>
      </w:r>
    </w:p>
    <w:p>
      <w:pPr>
        <w:pStyle w:val="22"/>
        <w:numPr>
          <w:ilvl w:val="1"/>
          <w:numId w:val="1"/>
        </w:numPr>
        <w:spacing w:before="312" w:after="312"/>
      </w:pPr>
      <w:r>
        <w:rPr>
          <w:rFonts w:hint="eastAsia"/>
        </w:rPr>
        <w:t>空白试验</w:t>
      </w:r>
    </w:p>
    <w:p>
      <w:pPr>
        <w:pStyle w:val="19"/>
      </w:pPr>
      <w:r>
        <w:rPr>
          <w:rFonts w:hint="eastAsia"/>
        </w:rPr>
        <w:t>随同试料做空白试验。</w:t>
      </w:r>
    </w:p>
    <w:p>
      <w:pPr>
        <w:pStyle w:val="22"/>
        <w:numPr>
          <w:ilvl w:val="1"/>
          <w:numId w:val="1"/>
        </w:numPr>
        <w:spacing w:before="312" w:after="312"/>
      </w:pPr>
      <w:r>
        <w:rPr>
          <w:rFonts w:hint="eastAsia"/>
        </w:rPr>
        <w:t>测定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Cs w:val="21"/>
        </w:rPr>
      </w:pPr>
      <w:r>
        <w:rPr>
          <w:rFonts w:hint="eastAsia" w:ascii="黑体" w:hAnsi="黑体" w:eastAsia="黑体"/>
          <w:szCs w:val="21"/>
          <w:lang w:val="en-US" w:eastAsia="zh-CN"/>
        </w:rPr>
        <w:t>7.4</w:t>
      </w:r>
      <w:r>
        <w:rPr>
          <w:rFonts w:hint="eastAsia" w:ascii="黑体" w:hAnsi="黑体" w:eastAsia="黑体"/>
          <w:szCs w:val="21"/>
        </w:rPr>
        <w:t xml:space="preserve">.1  </w:t>
      </w:r>
      <w:r>
        <w:rPr>
          <w:rFonts w:ascii="Times New Roman" w:hAnsi="Times New Roman" w:cs="Times New Roman"/>
          <w:szCs w:val="21"/>
        </w:rPr>
        <w:t>蒸馏装置的预处理：加250mL水于凯氏烧瓶中，加0.25g轻质氧化镁（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4</w:t>
      </w:r>
      <w:r>
        <w:rPr>
          <w:rFonts w:hint="eastAsia" w:ascii="Times New Roman" w:hAnsi="Times New Roman" w:cs="Times New Roman"/>
          <w:szCs w:val="21"/>
        </w:rPr>
        <w:t>.5</w:t>
      </w:r>
      <w:r>
        <w:rPr>
          <w:rFonts w:ascii="Times New Roman" w:hAnsi="Times New Roman" w:cs="Times New Roman"/>
          <w:szCs w:val="21"/>
        </w:rPr>
        <w:t>）和数粒爆沸颗粒（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4</w:t>
      </w:r>
      <w:r>
        <w:rPr>
          <w:rFonts w:hint="eastAsia" w:ascii="Times New Roman" w:hAnsi="Times New Roman" w:cs="Times New Roman"/>
          <w:szCs w:val="21"/>
        </w:rPr>
        <w:t>.13</w:t>
      </w:r>
      <w:r>
        <w:rPr>
          <w:rFonts w:ascii="Times New Roman" w:hAnsi="Times New Roman" w:cs="Times New Roman"/>
          <w:szCs w:val="21"/>
        </w:rPr>
        <w:t>），加热蒸馏至馏出液不含氨为止。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Ansi="宋体" w:cs="宋体"/>
          <w:sz w:val="24"/>
          <w:szCs w:val="24"/>
        </w:rPr>
      </w:pPr>
      <w:r>
        <w:rPr>
          <w:rFonts w:hint="eastAsia" w:ascii="黑体" w:hAnsi="黑体" w:eastAsia="黑体"/>
          <w:szCs w:val="21"/>
          <w:lang w:val="en-US" w:eastAsia="zh-CN"/>
        </w:rPr>
        <w:t>7.4</w:t>
      </w:r>
      <w:r>
        <w:rPr>
          <w:rFonts w:hint="eastAsia" w:ascii="黑体" w:hAnsi="黑体" w:eastAsia="黑体"/>
          <w:szCs w:val="21"/>
        </w:rPr>
        <w:t xml:space="preserve">.2  </w:t>
      </w:r>
      <w:r>
        <w:rPr>
          <w:rFonts w:hint="eastAsia" w:ascii="Times New Roman" w:hAnsi="Times New Roman" w:cs="Times New Roman"/>
          <w:szCs w:val="21"/>
        </w:rPr>
        <w:t xml:space="preserve">样品预处理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szCs w:val="21"/>
          <w:highlight w:val="none"/>
        </w:rPr>
        <w:sectPr>
          <w:headerReference r:id="rId11" w:type="first"/>
          <w:footerReference r:id="rId13" w:type="first"/>
          <w:footerReference r:id="rId12" w:type="default"/>
          <w:pgSz w:w="11906" w:h="16838"/>
          <w:pgMar w:top="567" w:right="1134" w:bottom="1134" w:left="1418" w:header="1417" w:footer="1134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黑体" w:hAnsi="黑体" w:eastAsia="黑体"/>
          <w:szCs w:val="21"/>
          <w:highlight w:val="cyan"/>
          <w:lang w:val="en-US" w:eastAsia="zh-CN"/>
        </w:rPr>
        <w:t>7.4</w:t>
      </w:r>
      <w:r>
        <w:rPr>
          <w:rFonts w:hint="eastAsia" w:ascii="黑体" w:hAnsi="黑体" w:eastAsia="黑体"/>
          <w:szCs w:val="21"/>
        </w:rPr>
        <w:t>.2.</w:t>
      </w:r>
      <w:r>
        <w:rPr>
          <w:rFonts w:hint="eastAsia" w:ascii="黑体" w:hAnsi="黑体" w:eastAsia="黑体"/>
          <w:szCs w:val="21"/>
          <w:lang w:val="en-US" w:eastAsia="zh-CN"/>
        </w:rPr>
        <w:t xml:space="preserve">1  </w:t>
      </w:r>
      <w:r>
        <w:rPr>
          <w:rFonts w:ascii="Times New Roman" w:hAnsi="Times New Roman"/>
          <w:szCs w:val="21"/>
        </w:rPr>
        <w:t>移取</w:t>
      </w:r>
      <w:r>
        <w:rPr>
          <w:rFonts w:hint="eastAsia" w:ascii="Times New Roman" w:hAnsi="Times New Roman"/>
          <w:szCs w:val="21"/>
          <w:lang w:eastAsia="zh-CN"/>
        </w:rPr>
        <w:t>适量</w:t>
      </w:r>
      <w:r>
        <w:rPr>
          <w:rFonts w:hint="eastAsia" w:ascii="Times New Roman" w:hAnsi="Times New Roman"/>
          <w:strike w:val="0"/>
          <w:dstrike w:val="0"/>
          <w:color w:val="0000FF"/>
          <w:szCs w:val="21"/>
          <w:lang w:val="en-US" w:eastAsia="zh-CN"/>
        </w:rPr>
        <w:t>试</w:t>
      </w:r>
      <w:r>
        <w:rPr>
          <w:rFonts w:ascii="Times New Roman" w:hAnsi="Times New Roman"/>
          <w:color w:val="0000FF"/>
          <w:szCs w:val="21"/>
        </w:rPr>
        <w:t>样</w:t>
      </w: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6</w:t>
      </w:r>
      <w:r>
        <w:rPr>
          <w:rFonts w:ascii="Times New Roman" w:hAnsi="Times New Roman"/>
          <w:szCs w:val="21"/>
        </w:rPr>
        <w:t>）于凯氏烧瓶中</w:t>
      </w:r>
      <w:r>
        <w:rPr>
          <w:rFonts w:hint="eastAsia" w:ascii="Times New Roman" w:hAnsi="Times New Roman"/>
          <w:szCs w:val="21"/>
          <w:lang w:eastAsia="zh-CN"/>
        </w:rPr>
        <w:t>，</w:t>
      </w:r>
      <w:r>
        <w:rPr>
          <w:rFonts w:ascii="Times New Roman" w:hAnsi="Times New Roman"/>
          <w:szCs w:val="21"/>
        </w:rPr>
        <w:t>加数滴溴百里酚蓝指示剂（</w:t>
      </w:r>
      <w:r>
        <w:rPr>
          <w:rFonts w:hint="eastAsia" w:ascii="Times New Roman" w:hAnsi="Times New Roman"/>
          <w:szCs w:val="21"/>
          <w:lang w:val="en-US" w:eastAsia="zh-CN"/>
        </w:rPr>
        <w:t>4</w:t>
      </w:r>
      <w:r>
        <w:rPr>
          <w:rFonts w:hint="eastAsia" w:ascii="Times New Roman" w:hAnsi="Times New Roman"/>
          <w:szCs w:val="21"/>
        </w:rPr>
        <w:t>.6</w:t>
      </w:r>
      <w:r>
        <w:rPr>
          <w:rFonts w:ascii="Times New Roman" w:hAnsi="Times New Roman"/>
          <w:szCs w:val="21"/>
        </w:rPr>
        <w:t>），用</w:t>
      </w:r>
      <w:r>
        <w:rPr>
          <w:rFonts w:ascii="Times New Roman" w:hAnsi="Times New Roman"/>
          <w:color w:val="000000"/>
          <w:szCs w:val="21"/>
        </w:rPr>
        <w:t>盐酸（</w:t>
      </w:r>
      <w:r>
        <w:rPr>
          <w:rFonts w:hint="eastAsia" w:ascii="Times New Roman" w:hAnsi="Times New Roman"/>
          <w:szCs w:val="21"/>
          <w:lang w:val="en-US" w:eastAsia="zh-CN"/>
        </w:rPr>
        <w:t>4.</w:t>
      </w:r>
      <w:r>
        <w:rPr>
          <w:rFonts w:hint="eastAsia" w:ascii="Times New Roman" w:hAnsi="Times New Roman"/>
          <w:szCs w:val="21"/>
        </w:rPr>
        <w:t>3</w:t>
      </w:r>
      <w:r>
        <w:rPr>
          <w:rFonts w:ascii="Times New Roman" w:hAnsi="Times New Roman"/>
          <w:color w:val="000000"/>
          <w:szCs w:val="21"/>
        </w:rPr>
        <w:t>）或氢氧化钠溶液（</w:t>
      </w:r>
      <w:r>
        <w:rPr>
          <w:rFonts w:hint="eastAsia" w:ascii="Times New Roman" w:hAnsi="Times New Roman"/>
          <w:szCs w:val="21"/>
          <w:lang w:val="en-US" w:eastAsia="zh-CN"/>
        </w:rPr>
        <w:t>4</w:t>
      </w:r>
      <w:r>
        <w:rPr>
          <w:rFonts w:hint="eastAsia" w:ascii="Times New Roman" w:hAnsi="Times New Roman"/>
          <w:szCs w:val="21"/>
        </w:rPr>
        <w:t>.4</w:t>
      </w:r>
      <w:r>
        <w:rPr>
          <w:rFonts w:ascii="Times New Roman" w:hAnsi="Times New Roman"/>
          <w:color w:val="000000"/>
          <w:szCs w:val="21"/>
        </w:rPr>
        <w:t>）调节试液成淡蓝色，加入0.25g轻质氧化镁（</w:t>
      </w:r>
      <w:r>
        <w:rPr>
          <w:rFonts w:hint="eastAsia" w:ascii="Times New Roman" w:hAnsi="Times New Roman"/>
          <w:szCs w:val="21"/>
          <w:lang w:val="en-US" w:eastAsia="zh-CN"/>
        </w:rPr>
        <w:t>4</w:t>
      </w:r>
      <w:r>
        <w:rPr>
          <w:rFonts w:hint="eastAsia" w:ascii="Times New Roman" w:hAnsi="Times New Roman"/>
          <w:szCs w:val="21"/>
        </w:rPr>
        <w:t>.5</w:t>
      </w:r>
      <w:r>
        <w:rPr>
          <w:rFonts w:ascii="Times New Roman" w:hAnsi="Times New Roman"/>
          <w:color w:val="000000"/>
          <w:szCs w:val="21"/>
        </w:rPr>
        <w:t>），以</w:t>
      </w:r>
      <w:r>
        <w:rPr>
          <w:rFonts w:ascii="Times New Roman" w:hAnsi="Times New Roman"/>
          <w:szCs w:val="21"/>
        </w:rPr>
        <w:t>水稀释试样体积约300mL，加入</w:t>
      </w:r>
      <w:r>
        <w:rPr>
          <w:rFonts w:ascii="Times New Roman" w:hAnsi="Times New Roman"/>
          <w:color w:val="000000"/>
          <w:szCs w:val="21"/>
        </w:rPr>
        <w:t>数</w:t>
      </w:r>
      <w:r>
        <w:rPr>
          <w:rFonts w:ascii="Times New Roman" w:hAnsi="Times New Roman"/>
          <w:color w:val="000000"/>
          <w:szCs w:val="21"/>
          <w:highlight w:val="none"/>
        </w:rPr>
        <w:t>颗防爆沸颗粒（</w:t>
      </w:r>
      <w:r>
        <w:rPr>
          <w:rFonts w:hint="eastAsia" w:ascii="Times New Roman" w:hAnsi="Times New Roman"/>
          <w:szCs w:val="21"/>
          <w:highlight w:val="none"/>
          <w:lang w:val="en-US" w:eastAsia="zh-CN"/>
        </w:rPr>
        <w:t>4</w:t>
      </w:r>
      <w:r>
        <w:rPr>
          <w:rFonts w:hint="eastAsia" w:ascii="Times New Roman" w:hAnsi="Times New Roman"/>
          <w:szCs w:val="21"/>
          <w:highlight w:val="none"/>
        </w:rPr>
        <w:t>.13</w:t>
      </w:r>
      <w:r>
        <w:rPr>
          <w:rFonts w:ascii="Times New Roman" w:hAnsi="Times New Roman"/>
          <w:szCs w:val="21"/>
          <w:highlight w:val="none"/>
        </w:rPr>
        <w:t>），快速连接氮球和冷凝管（</w:t>
      </w:r>
      <w:r>
        <w:rPr>
          <w:rFonts w:hint="eastAsia" w:ascii="Times New Roman" w:hAnsi="Times New Roman"/>
          <w:szCs w:val="21"/>
          <w:highlight w:val="none"/>
          <w:lang w:val="en-US" w:eastAsia="zh-CN"/>
        </w:rPr>
        <w:t>5</w:t>
      </w:r>
      <w:r>
        <w:rPr>
          <w:rFonts w:hint="eastAsia" w:ascii="Times New Roman" w:hAnsi="Times New Roman"/>
          <w:szCs w:val="21"/>
          <w:highlight w:val="none"/>
        </w:rPr>
        <w:t>.2</w:t>
      </w:r>
      <w:r>
        <w:rPr>
          <w:rFonts w:ascii="Times New Roman" w:hAnsi="Times New Roman"/>
          <w:szCs w:val="21"/>
          <w:highlight w:val="none"/>
        </w:rPr>
        <w:t>），以盛有50mL硼酸溶液（</w:t>
      </w:r>
      <w:r>
        <w:rPr>
          <w:rFonts w:hint="eastAsia" w:ascii="Times New Roman" w:hAnsi="Times New Roman"/>
          <w:szCs w:val="21"/>
          <w:highlight w:val="none"/>
          <w:lang w:val="en-US" w:eastAsia="zh-CN"/>
        </w:rPr>
        <w:t>4</w:t>
      </w:r>
      <w:r>
        <w:rPr>
          <w:rFonts w:hint="eastAsia" w:ascii="Times New Roman" w:hAnsi="Times New Roman"/>
          <w:szCs w:val="21"/>
          <w:highlight w:val="none"/>
        </w:rPr>
        <w:t>.7</w:t>
      </w:r>
      <w:r>
        <w:rPr>
          <w:rFonts w:ascii="Times New Roman" w:hAnsi="Times New Roman"/>
          <w:szCs w:val="21"/>
          <w:highlight w:val="none"/>
        </w:rPr>
        <w:t>）的200mL烧杯盛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szCs w:val="21"/>
          <w:highlight w:val="none"/>
        </w:rPr>
      </w:pPr>
      <w:r>
        <w:rPr>
          <w:rFonts w:ascii="Times New Roman" w:hAnsi="Times New Roman"/>
          <w:szCs w:val="21"/>
          <w:highlight w:val="none"/>
        </w:rPr>
        <w:t>接馏出液，导管下端应在吸收液液面下。</w:t>
      </w:r>
      <w:r>
        <w:rPr>
          <w:rFonts w:ascii="Times New Roman" w:hAnsi="Times New Roman"/>
          <w:color w:val="000000"/>
          <w:szCs w:val="21"/>
          <w:highlight w:val="none"/>
        </w:rPr>
        <w:t>轻轻摇匀试样</w:t>
      </w:r>
      <w:r>
        <w:rPr>
          <w:rFonts w:ascii="Times New Roman" w:hAnsi="Times New Roman"/>
          <w:szCs w:val="21"/>
          <w:highlight w:val="none"/>
        </w:rPr>
        <w:t>，加热蒸馏，控制1min/5mL蒸馏，蒸出液体积达150mL时，停止蒸馏，取下烧杯，将试液转入200mL容量瓶中以水稀释至刻度，混匀。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sz w:val="24"/>
          <w:szCs w:val="24"/>
          <w:highlight w:val="none"/>
        </w:rPr>
      </w:pPr>
      <w:r>
        <w:rPr>
          <w:rFonts w:hint="eastAsia" w:ascii="黑体" w:hAnsi="黑体" w:eastAsia="黑体"/>
          <w:szCs w:val="21"/>
          <w:highlight w:val="none"/>
          <w:lang w:val="en-US" w:eastAsia="zh-CN"/>
        </w:rPr>
        <w:t>7.4</w:t>
      </w:r>
      <w:r>
        <w:rPr>
          <w:rFonts w:hint="eastAsia" w:ascii="黑体" w:hAnsi="黑体" w:eastAsia="黑体"/>
          <w:szCs w:val="21"/>
          <w:highlight w:val="none"/>
        </w:rPr>
        <w:t xml:space="preserve">.3  </w:t>
      </w:r>
      <w:r>
        <w:rPr>
          <w:rFonts w:ascii="Times New Roman" w:hAnsi="Times New Roman"/>
          <w:szCs w:val="21"/>
          <w:highlight w:val="none"/>
        </w:rPr>
        <w:t>氨氮的测定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szCs w:val="21"/>
          <w:highlight w:val="none"/>
        </w:rPr>
      </w:pPr>
      <w:r>
        <w:rPr>
          <w:rFonts w:hint="eastAsia" w:ascii="黑体" w:hAnsi="黑体" w:eastAsia="黑体"/>
          <w:szCs w:val="21"/>
          <w:highlight w:val="none"/>
          <w:lang w:val="en-US" w:eastAsia="zh-CN"/>
        </w:rPr>
        <w:t>7.4</w:t>
      </w:r>
      <w:r>
        <w:rPr>
          <w:rFonts w:hint="eastAsia" w:ascii="黑体" w:hAnsi="黑体" w:eastAsia="黑体"/>
          <w:szCs w:val="21"/>
          <w:highlight w:val="none"/>
        </w:rPr>
        <w:t xml:space="preserve">.3.1  </w:t>
      </w:r>
      <w:r>
        <w:rPr>
          <w:rFonts w:ascii="Times New Roman" w:hAnsi="Times New Roman"/>
          <w:szCs w:val="21"/>
          <w:highlight w:val="none"/>
        </w:rPr>
        <w:t>移取适量</w:t>
      </w:r>
      <w:r>
        <w:rPr>
          <w:rFonts w:hint="eastAsia" w:ascii="Times New Roman" w:hAnsi="Times New Roman"/>
          <w:szCs w:val="21"/>
          <w:highlight w:val="none"/>
        </w:rPr>
        <w:t>样品（</w:t>
      </w:r>
      <w:r>
        <w:rPr>
          <w:rFonts w:hint="eastAsia" w:ascii="Times New Roman" w:hAnsi="Times New Roman"/>
          <w:szCs w:val="21"/>
          <w:highlight w:val="none"/>
          <w:lang w:val="en-US" w:eastAsia="zh-CN"/>
        </w:rPr>
        <w:t>7.4.2</w:t>
      </w:r>
      <w:r>
        <w:rPr>
          <w:rFonts w:hint="eastAsia" w:ascii="Times New Roman" w:hAnsi="Times New Roman"/>
          <w:szCs w:val="21"/>
          <w:highlight w:val="none"/>
        </w:rPr>
        <w:t>）</w:t>
      </w:r>
      <w:r>
        <w:rPr>
          <w:rFonts w:ascii="Times New Roman" w:hAnsi="Times New Roman"/>
          <w:szCs w:val="21"/>
          <w:highlight w:val="none"/>
        </w:rPr>
        <w:t>于50mL的比色管中</w:t>
      </w:r>
      <w:r>
        <w:rPr>
          <w:rFonts w:hint="eastAsia" w:ascii="Times New Roman" w:hAnsi="Times New Roman"/>
          <w:strike w:val="0"/>
          <w:dstrike w:val="0"/>
          <w:color w:val="0000FF"/>
          <w:szCs w:val="21"/>
          <w:highlight w:val="none"/>
          <w:lang w:eastAsia="zh-CN"/>
        </w:rPr>
        <w:t>（使氨氮含量不超过</w:t>
      </w:r>
      <w:r>
        <w:rPr>
          <w:rFonts w:hint="eastAsia" w:ascii="Times New Roman" w:hAnsi="Times New Roman"/>
          <w:strike w:val="0"/>
          <w:dstrike w:val="0"/>
          <w:color w:val="0000FF"/>
          <w:szCs w:val="21"/>
          <w:highlight w:val="none"/>
          <w:lang w:val="en-US" w:eastAsia="zh-CN"/>
        </w:rPr>
        <w:t>100ug）</w:t>
      </w:r>
      <w:r>
        <w:rPr>
          <w:rFonts w:ascii="Times New Roman" w:hAnsi="Times New Roman"/>
          <w:strike w:val="0"/>
          <w:dstrike w:val="0"/>
          <w:color w:val="0000FF"/>
          <w:szCs w:val="21"/>
          <w:highlight w:val="none"/>
        </w:rPr>
        <w:t>，</w:t>
      </w:r>
      <w:r>
        <w:rPr>
          <w:rFonts w:hint="eastAsia" w:ascii="Times New Roman" w:hAnsi="Times New Roman"/>
          <w:szCs w:val="21"/>
          <w:highlight w:val="none"/>
        </w:rPr>
        <w:t>用</w:t>
      </w:r>
      <w:r>
        <w:rPr>
          <w:rFonts w:ascii="Times New Roman" w:hAnsi="Times New Roman"/>
          <w:szCs w:val="21"/>
          <w:highlight w:val="none"/>
        </w:rPr>
        <w:t>水稀释至刻度，加1.0mL酒石酸钾钠溶液（</w:t>
      </w:r>
      <w:r>
        <w:rPr>
          <w:rFonts w:hint="eastAsia" w:ascii="Times New Roman" w:hAnsi="Times New Roman"/>
          <w:szCs w:val="21"/>
          <w:highlight w:val="none"/>
          <w:lang w:val="en-US" w:eastAsia="zh-CN"/>
        </w:rPr>
        <w:t>4</w:t>
      </w:r>
      <w:r>
        <w:rPr>
          <w:rFonts w:hint="eastAsia" w:ascii="Times New Roman" w:hAnsi="Times New Roman"/>
          <w:szCs w:val="21"/>
          <w:highlight w:val="none"/>
        </w:rPr>
        <w:t>.9</w:t>
      </w:r>
      <w:r>
        <w:rPr>
          <w:rFonts w:ascii="Times New Roman" w:hAnsi="Times New Roman"/>
          <w:szCs w:val="21"/>
          <w:highlight w:val="none"/>
        </w:rPr>
        <w:t>）混匀，加1.5mL纳氏试剂（</w:t>
      </w:r>
      <w:r>
        <w:rPr>
          <w:rFonts w:hint="eastAsia" w:ascii="Times New Roman" w:hAnsi="Times New Roman"/>
          <w:szCs w:val="21"/>
          <w:highlight w:val="none"/>
          <w:lang w:val="en-US" w:eastAsia="zh-CN"/>
        </w:rPr>
        <w:t>4</w:t>
      </w:r>
      <w:r>
        <w:rPr>
          <w:rFonts w:hint="eastAsia" w:ascii="Times New Roman" w:hAnsi="Times New Roman"/>
          <w:szCs w:val="21"/>
          <w:highlight w:val="none"/>
        </w:rPr>
        <w:t>.10</w:t>
      </w:r>
      <w:r>
        <w:rPr>
          <w:rFonts w:ascii="Times New Roman" w:hAnsi="Times New Roman"/>
          <w:szCs w:val="21"/>
          <w:highlight w:val="none"/>
        </w:rPr>
        <w:t>）混匀。放置10min，于2cm比色皿，分光光度计420nm波长处以水为参比，测量吸光度</w:t>
      </w:r>
      <w:r>
        <w:rPr>
          <w:rFonts w:hint="eastAsia" w:ascii="Times New Roman" w:hAnsi="Times New Roman"/>
          <w:szCs w:val="21"/>
          <w:highlight w:val="none"/>
        </w:rPr>
        <w:t>，</w:t>
      </w:r>
      <w:r>
        <w:rPr>
          <w:rFonts w:ascii="Times New Roman" w:hAnsi="Times New Roman"/>
          <w:szCs w:val="21"/>
          <w:highlight w:val="none"/>
        </w:rPr>
        <w:t>由工作曲线上查得氨氮的微克数，计算样品中氨氮的含量。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szCs w:val="21"/>
          <w:highlight w:val="none"/>
        </w:rPr>
      </w:pPr>
      <w:r>
        <w:rPr>
          <w:rFonts w:hint="eastAsia" w:ascii="黑体" w:hAnsi="黑体" w:eastAsia="黑体"/>
          <w:szCs w:val="21"/>
          <w:highlight w:val="none"/>
          <w:lang w:val="en-US" w:eastAsia="zh-CN"/>
        </w:rPr>
        <w:t>7.4</w:t>
      </w:r>
      <w:r>
        <w:rPr>
          <w:rFonts w:hint="eastAsia" w:ascii="黑体" w:hAnsi="黑体" w:eastAsia="黑体"/>
          <w:szCs w:val="21"/>
          <w:highlight w:val="none"/>
        </w:rPr>
        <w:t xml:space="preserve">.3.2  </w:t>
      </w:r>
      <w:r>
        <w:rPr>
          <w:rFonts w:hint="eastAsia" w:ascii="Times New Roman" w:hAnsi="Times New Roman"/>
          <w:szCs w:val="21"/>
          <w:highlight w:val="none"/>
        </w:rPr>
        <w:t>标准工作曲线的绘制：移取0mL、0.50mL、1.00mL、2.00mL、3.00mL、5.00mL、7.00mL、10.00mL氨氮标准溶液（</w:t>
      </w:r>
      <w:r>
        <w:rPr>
          <w:rFonts w:hint="eastAsia" w:ascii="Times New Roman" w:hAnsi="Times New Roman"/>
          <w:szCs w:val="21"/>
          <w:highlight w:val="none"/>
          <w:lang w:val="en-US" w:eastAsia="zh-CN"/>
        </w:rPr>
        <w:t>4</w:t>
      </w:r>
      <w:r>
        <w:rPr>
          <w:rFonts w:hint="eastAsia" w:ascii="Times New Roman" w:hAnsi="Times New Roman"/>
          <w:szCs w:val="21"/>
          <w:highlight w:val="none"/>
        </w:rPr>
        <w:t>.12），分别置于一组50mL的比色管中，用水稀释至刻度，以水做参比，按（</w:t>
      </w:r>
      <w:r>
        <w:rPr>
          <w:rFonts w:hint="eastAsia" w:ascii="黑体" w:hAnsi="黑体" w:eastAsia="黑体"/>
          <w:szCs w:val="21"/>
          <w:highlight w:val="none"/>
          <w:lang w:val="en-US" w:eastAsia="zh-CN"/>
        </w:rPr>
        <w:t>7.4</w:t>
      </w:r>
      <w:r>
        <w:rPr>
          <w:rFonts w:hint="eastAsia" w:ascii="Times New Roman" w:hAnsi="Times New Roman"/>
          <w:szCs w:val="21"/>
          <w:highlight w:val="none"/>
        </w:rPr>
        <w:t>.3.1）步骤操作。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Cs w:val="21"/>
          <w:highlight w:val="none"/>
        </w:rPr>
      </w:pPr>
      <w:r>
        <w:rPr>
          <w:rFonts w:hint="eastAsia" w:ascii="黑体" w:hAnsi="黑体" w:eastAsia="黑体"/>
          <w:szCs w:val="21"/>
          <w:highlight w:val="none"/>
          <w:lang w:val="en-US" w:eastAsia="zh-CN"/>
        </w:rPr>
        <w:t>7.4</w:t>
      </w:r>
      <w:r>
        <w:rPr>
          <w:rFonts w:hint="eastAsia" w:ascii="黑体" w:hAnsi="黑体" w:eastAsia="黑体"/>
          <w:szCs w:val="21"/>
          <w:highlight w:val="none"/>
        </w:rPr>
        <w:t xml:space="preserve">.3.3  </w:t>
      </w:r>
      <w:r>
        <w:rPr>
          <w:rFonts w:hint="eastAsia" w:hAnsi="宋体" w:cs="宋体"/>
          <w:szCs w:val="21"/>
          <w:highlight w:val="none"/>
        </w:rPr>
        <w:t>以氨氮的质量为横坐标，对应吸光度为纵坐标，绘制工作曲线。</w:t>
      </w:r>
    </w:p>
    <w:p>
      <w:pPr>
        <w:pStyle w:val="22"/>
        <w:spacing w:before="312" w:after="312"/>
        <w:rPr>
          <w:highlight w:val="none"/>
        </w:rPr>
      </w:pPr>
      <w:r>
        <w:rPr>
          <w:rFonts w:hint="eastAsia"/>
          <w:highlight w:val="none"/>
        </w:rPr>
        <w:t>分析结果的计算</w:t>
      </w:r>
      <w:bookmarkStart w:id="0" w:name="_GoBack"/>
      <w:bookmarkEnd w:id="0"/>
    </w:p>
    <w:p>
      <w:pPr>
        <w:pStyle w:val="5"/>
        <w:ind w:firstLine="420" w:firstLineChars="200"/>
        <w:rPr>
          <w:rFonts w:hAnsi="宋体" w:cs="宋体"/>
          <w:szCs w:val="21"/>
          <w:highlight w:val="none"/>
        </w:rPr>
      </w:pPr>
      <w:r>
        <w:rPr>
          <w:rFonts w:hint="eastAsia" w:hAnsi="宋体" w:cs="宋体"/>
          <w:szCs w:val="21"/>
          <w:highlight w:val="none"/>
        </w:rPr>
        <w:t>按公式（</w:t>
      </w:r>
      <w:r>
        <w:rPr>
          <w:rFonts w:hint="eastAsia" w:ascii="Times New Roman" w:hAnsi="Times New Roman"/>
          <w:szCs w:val="21"/>
          <w:highlight w:val="none"/>
        </w:rPr>
        <w:t>1</w:t>
      </w:r>
      <w:r>
        <w:rPr>
          <w:rFonts w:hint="eastAsia" w:hAnsi="宋体" w:cs="宋体"/>
          <w:szCs w:val="21"/>
          <w:highlight w:val="none"/>
        </w:rPr>
        <w:t>）计算</w:t>
      </w:r>
      <w:r>
        <w:rPr>
          <w:rFonts w:hint="eastAsia" w:hAnsi="宋体" w:cs="宋体"/>
          <w:szCs w:val="21"/>
          <w:highlight w:val="none"/>
          <w:lang w:eastAsia="zh-CN"/>
        </w:rPr>
        <w:t>氨氮的质量浓度</w:t>
      </w:r>
      <w:r>
        <w:rPr>
          <w:rFonts w:hint="eastAsia" w:ascii="Times New Roman" w:hAnsi="Times New Roman"/>
          <w:color w:val="FF0000"/>
          <w:szCs w:val="21"/>
          <w:highlight w:val="none"/>
        </w:rPr>
        <w:t>ρ</w:t>
      </w:r>
      <w:r>
        <w:rPr>
          <w:rFonts w:hint="eastAsia" w:ascii="Times New Roman" w:hAnsi="Times New Roman"/>
          <w:color w:val="FF0000"/>
          <w:szCs w:val="21"/>
          <w:highlight w:val="none"/>
          <w:lang w:eastAsia="zh-CN"/>
        </w:rPr>
        <w:t>（</w:t>
      </w:r>
      <w:r>
        <w:rPr>
          <w:rFonts w:hint="eastAsia" w:ascii="Times New Roman" w:hAnsi="Times New Roman"/>
          <w:szCs w:val="21"/>
          <w:highlight w:val="none"/>
        </w:rPr>
        <w:t>mg/L</w:t>
      </w:r>
      <w:r>
        <w:rPr>
          <w:rFonts w:hint="eastAsia" w:ascii="Times New Roman" w:hAnsi="Times New Roman"/>
          <w:szCs w:val="21"/>
          <w:highlight w:val="none"/>
          <w:lang w:eastAsia="zh-CN"/>
        </w:rPr>
        <w:t>）：</w:t>
      </w:r>
    </w:p>
    <w:p>
      <w:pPr>
        <w:pStyle w:val="5"/>
        <w:ind w:firstLine="840" w:firstLineChars="400"/>
        <w:jc w:val="center"/>
        <w:rPr>
          <w:rFonts w:hAnsi="宋体" w:cs="宋体"/>
          <w:szCs w:val="21"/>
        </w:rPr>
      </w:pPr>
      <w:r>
        <w:rPr>
          <w:rFonts w:hint="eastAsia" w:hAnsi="宋体" w:cs="宋体"/>
          <w:position w:val="-30"/>
          <w:szCs w:val="21"/>
        </w:rPr>
        <w:object>
          <v:shape id="_x0000_i1025" o:spt="75" type="#_x0000_t75" style="height:33.75pt;width:62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22">
            <o:LockedField>false</o:LockedField>
          </o:OLEObject>
        </w:object>
      </w:r>
      <w:r>
        <w:rPr>
          <w:rFonts w:hint="eastAsia" w:hAnsi="宋体" w:cs="宋体"/>
          <w:szCs w:val="21"/>
        </w:rPr>
        <w:t>…………………………………………（1）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式中：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Ansi="宋体" w:cs="宋体"/>
          <w:szCs w:val="21"/>
        </w:rPr>
      </w:pPr>
      <w:r>
        <w:rPr>
          <w:rFonts w:hint="eastAsia" w:hAnsi="宋体" w:cs="宋体"/>
          <w:position w:val="-10"/>
          <w:szCs w:val="21"/>
        </w:rPr>
        <w:object>
          <v:shape id="_x0000_i1026" o:spt="75" type="#_x0000_t75" style="height:17.25pt;width:1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24">
            <o:LockedField>false</o:LockedField>
          </o:OLEObject>
        </w:object>
      </w:r>
      <w:r>
        <w:rPr>
          <w:rFonts w:hint="eastAsia" w:hAnsi="宋体" w:cs="宋体"/>
          <w:szCs w:val="21"/>
        </w:rPr>
        <w:t>—从标准曲线上查得氨氮量，单位为微克（</w:t>
      </w:r>
      <w:r>
        <w:rPr>
          <w:rFonts w:ascii="Symbol" w:hAnsi="Symbol" w:cs="Symbol"/>
          <w:szCs w:val="21"/>
        </w:rPr>
        <w:t></w:t>
      </w:r>
      <w:r>
        <w:rPr>
          <w:rFonts w:hint="eastAsia" w:ascii="Times New Roman" w:hAnsi="Times New Roman" w:cs="Times New Roman"/>
          <w:szCs w:val="21"/>
        </w:rPr>
        <w:t>g</w:t>
      </w:r>
      <w:r>
        <w:rPr>
          <w:rFonts w:hint="eastAsia" w:hAnsi="宋体" w:cs="宋体"/>
          <w:szCs w:val="21"/>
        </w:rPr>
        <w:t>）；  </w:t>
      </w:r>
      <w:r>
        <w:rPr>
          <w:rFonts w:hint="eastAsia" w:hAnsi="宋体" w:cs="宋体"/>
          <w:szCs w:val="21"/>
        </w:rPr>
        <w:tab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hAnsi="宋体" w:cs="宋体"/>
          <w:position w:val="-10"/>
          <w:szCs w:val="21"/>
        </w:rPr>
        <w:object>
          <v:shape id="_x0000_i1027" o:spt="75" type="#_x0000_t75" style="height:17.25pt;width:1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26">
            <o:LockedField>false</o:LockedField>
          </o:OLEObject>
        </w:object>
      </w:r>
      <w:r>
        <w:rPr>
          <w:rFonts w:hint="eastAsia" w:hAnsi="宋体" w:cs="宋体"/>
          <w:szCs w:val="21"/>
        </w:rPr>
        <w:t>—移取试液体积，单位为毫升（</w:t>
      </w:r>
      <w:r>
        <w:rPr>
          <w:rFonts w:hint="eastAsia" w:ascii="Times New Roman" w:hAnsi="Times New Roman"/>
          <w:szCs w:val="21"/>
        </w:rPr>
        <w:t>mL</w:t>
      </w:r>
      <w:r>
        <w:rPr>
          <w:rFonts w:hint="eastAsia" w:hAnsi="宋体" w:cs="宋体"/>
          <w:szCs w:val="21"/>
        </w:rPr>
        <w:t>）。</w:t>
      </w:r>
    </w:p>
    <w:p>
      <w:pPr>
        <w:pStyle w:val="22"/>
        <w:spacing w:before="312" w:after="312"/>
      </w:pPr>
      <w:r>
        <w:rPr>
          <w:rFonts w:hint="eastAsia"/>
        </w:rPr>
        <w:t>精密度</w:t>
      </w:r>
    </w:p>
    <w:p>
      <w:pPr>
        <w:pStyle w:val="22"/>
        <w:numPr>
          <w:ilvl w:val="1"/>
          <w:numId w:val="1"/>
        </w:numPr>
        <w:spacing w:before="312" w:after="312"/>
      </w:pPr>
      <w:r>
        <w:rPr>
          <w:rFonts w:hint="eastAsia"/>
        </w:rPr>
        <w:t>重复性</w:t>
      </w:r>
    </w:p>
    <w:p>
      <w:pPr>
        <w:pStyle w:val="22"/>
        <w:numPr>
          <w:ilvl w:val="0"/>
          <w:numId w:val="0"/>
        </w:numPr>
        <w:spacing w:beforeLines="0" w:afterLines="0"/>
        <w:ind w:firstLine="420" w:firstLineChars="200"/>
        <w:rPr>
          <w:rFonts w:hint="eastAsia" w:ascii="黑体" w:eastAsia="黑体"/>
        </w:rPr>
      </w:pPr>
      <w:r>
        <w:rPr>
          <w:rFonts w:hint="eastAsia" w:ascii="Times New Roman" w:hAnsi="宋体" w:eastAsia="宋体"/>
          <w:kern w:val="2"/>
          <w:szCs w:val="22"/>
        </w:rPr>
        <w:t>在重复性条件下获得的两次独立测试结果的测定值，在以下给出的平均值范围内，这两个测试结果的绝对</w:t>
      </w:r>
      <w:r>
        <w:rPr>
          <w:rFonts w:ascii="Times New Roman" w:eastAsia="宋体"/>
          <w:kern w:val="2"/>
          <w:szCs w:val="22"/>
        </w:rPr>
        <w:t>差值不超过重复性限（r），超过重复性限（r）的情况不超过5%，重复性限（r）按表</w:t>
      </w:r>
      <w:r>
        <w:rPr>
          <w:rFonts w:hint="eastAsia" w:ascii="Times New Roman" w:eastAsia="宋体"/>
          <w:kern w:val="2"/>
          <w:szCs w:val="22"/>
        </w:rPr>
        <w:t>1</w:t>
      </w:r>
      <w:r>
        <w:rPr>
          <w:rFonts w:ascii="Times New Roman" w:eastAsia="宋体"/>
          <w:kern w:val="2"/>
          <w:szCs w:val="22"/>
        </w:rPr>
        <w:t>数据采用线性内插法求得</w:t>
      </w:r>
      <w:r>
        <w:rPr>
          <w:rFonts w:hint="eastAsia" w:ascii="Times New Roman" w:eastAsia="宋体"/>
          <w:kern w:val="2"/>
          <w:szCs w:val="22"/>
        </w:rPr>
        <w:t>。</w:t>
      </w:r>
    </w:p>
    <w:p>
      <w:pPr>
        <w:pStyle w:val="19"/>
        <w:ind w:firstLine="0" w:firstLineChars="0"/>
        <w:jc w:val="center"/>
        <w:rPr>
          <w:rFonts w:ascii="黑体" w:eastAsia="黑体"/>
        </w:rPr>
      </w:pPr>
      <w:r>
        <w:rPr>
          <w:rFonts w:hint="eastAsia" w:ascii="黑体" w:eastAsia="黑体"/>
        </w:rPr>
        <w:t>表1</w:t>
      </w:r>
    </w:p>
    <w:tbl>
      <w:tblPr>
        <w:tblStyle w:val="10"/>
        <w:tblW w:w="957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含量（</w:t>
            </w:r>
            <w:r>
              <w:rPr>
                <w:rFonts w:hint="eastAsia" w:ascii="Times New Roman"/>
                <w:sz w:val="18"/>
                <w:szCs w:val="18"/>
                <w:highlight w:val="yellow"/>
                <w:lang w:eastAsia="zh-CN"/>
              </w:rPr>
              <w:t>浓度</w:t>
            </w:r>
            <w:r>
              <w:rPr>
                <w:rFonts w:ascii="Times New Roman"/>
                <w:sz w:val="18"/>
                <w:szCs w:val="18"/>
              </w:rPr>
              <w:t>）/ mg</w:t>
            </w:r>
            <w:r>
              <w:rPr>
                <w:rFonts w:hint="eastAsia" w:ascii="Times New Roman"/>
                <w:sz w:val="18"/>
                <w:szCs w:val="18"/>
                <w:lang w:val="en-US" w:eastAsia="zh-CN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L</w:t>
            </w:r>
          </w:p>
        </w:tc>
        <w:tc>
          <w:tcPr>
            <w:tcW w:w="478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重复性限（r）/%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FF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785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2.10 </w:t>
            </w:r>
          </w:p>
        </w:tc>
        <w:tc>
          <w:tcPr>
            <w:tcW w:w="478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12.11 </w:t>
            </w:r>
          </w:p>
        </w:tc>
        <w:tc>
          <w:tcPr>
            <w:tcW w:w="478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47.91 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20.50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272.09 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28.69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681.25 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FF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2"/>
            <w:vAlign w:val="center"/>
          </w:tcPr>
          <w:p>
            <w:pPr>
              <w:widowControl/>
              <w:adjustRightInd w:val="0"/>
              <w:spacing w:line="312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注：重复性限（</w:t>
            </w:r>
            <w:r>
              <w:rPr>
                <w:rFonts w:hint="eastAsia" w:ascii="宋体" w:hAnsi="宋体" w:cs="Times New Roman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）为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2.8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×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Sr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Sr</w:t>
            </w: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为重复性标准差。</w:t>
            </w:r>
          </w:p>
        </w:tc>
      </w:tr>
    </w:tbl>
    <w:p>
      <w:pPr>
        <w:pStyle w:val="22"/>
        <w:numPr>
          <w:ilvl w:val="1"/>
          <w:numId w:val="1"/>
        </w:numPr>
        <w:spacing w:before="312" w:after="312"/>
        <w:sectPr>
          <w:headerReference r:id="rId14" w:type="first"/>
          <w:footerReference r:id="rId16" w:type="first"/>
          <w:footerReference r:id="rId15" w:type="default"/>
          <w:pgSz w:w="11906" w:h="16838"/>
          <w:pgMar w:top="567" w:right="1134" w:bottom="1134" w:left="1418" w:header="1417" w:footer="1134" w:gutter="0"/>
          <w:pgNumType w:fmt="decimal"/>
          <w:cols w:space="720" w:num="1"/>
          <w:titlePg/>
          <w:docGrid w:type="lines" w:linePitch="312" w:charSpace="0"/>
        </w:sectPr>
      </w:pPr>
    </w:p>
    <w:p>
      <w:pPr>
        <w:pStyle w:val="22"/>
        <w:numPr>
          <w:ilvl w:val="1"/>
          <w:numId w:val="1"/>
        </w:numPr>
        <w:spacing w:before="312" w:after="312"/>
      </w:pPr>
      <w:r>
        <w:rPr>
          <w:rFonts w:hint="eastAsia"/>
        </w:rPr>
        <w:t>允许差</w:t>
      </w:r>
    </w:p>
    <w:p>
      <w:pPr>
        <w:pStyle w:val="22"/>
        <w:numPr>
          <w:ilvl w:val="0"/>
          <w:numId w:val="0"/>
        </w:numPr>
        <w:spacing w:beforeLines="0" w:afterLines="0"/>
        <w:ind w:firstLine="420" w:firstLineChars="200"/>
        <w:rPr>
          <w:rFonts w:ascii="Times New Roman" w:hAnsi="宋体" w:eastAsia="宋体"/>
          <w:kern w:val="2"/>
          <w:szCs w:val="22"/>
        </w:rPr>
      </w:pPr>
      <w:r>
        <w:rPr>
          <w:rFonts w:hint="eastAsia" w:ascii="Times New Roman" w:hAnsi="宋体" w:eastAsia="宋体"/>
          <w:kern w:val="2"/>
          <w:szCs w:val="22"/>
        </w:rPr>
        <w:t>实验室之间分析结果的差值应不大于表2所列允许差。</w:t>
      </w:r>
    </w:p>
    <w:p>
      <w:pPr>
        <w:pStyle w:val="19"/>
        <w:jc w:val="center"/>
        <w:rPr>
          <w:rFonts w:ascii="黑体" w:eastAsia="黑体"/>
        </w:rPr>
      </w:pPr>
      <w:r>
        <w:rPr>
          <w:rFonts w:hint="eastAsia" w:ascii="黑体" w:eastAsia="黑体"/>
        </w:rPr>
        <w:t>表2</w:t>
      </w:r>
    </w:p>
    <w:tbl>
      <w:tblPr>
        <w:tblStyle w:val="10"/>
        <w:tblW w:w="957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含量（</w:t>
            </w:r>
            <w:r>
              <w:rPr>
                <w:rFonts w:hint="eastAsia" w:ascii="Times New Roman"/>
                <w:sz w:val="18"/>
                <w:szCs w:val="18"/>
                <w:highlight w:val="yellow"/>
                <w:lang w:eastAsia="zh-CN"/>
              </w:rPr>
              <w:t>浓度</w:t>
            </w:r>
            <w:r>
              <w:rPr>
                <w:rFonts w:ascii="Times New Roman"/>
                <w:sz w:val="18"/>
                <w:szCs w:val="18"/>
              </w:rPr>
              <w:t xml:space="preserve">）/ </w:t>
            </w:r>
            <w:r>
              <w:rPr>
                <w:rFonts w:ascii="Times New Roman"/>
                <w:sz w:val="18"/>
                <w:szCs w:val="18"/>
                <w:highlight w:val="none"/>
              </w:rPr>
              <w:t>mg</w:t>
            </w:r>
            <w:r>
              <w:rPr>
                <w:rFonts w:hint="eastAsia" w:ascii="Times New Roman"/>
                <w:sz w:val="18"/>
                <w:szCs w:val="18"/>
                <w:highlight w:val="none"/>
                <w:lang w:val="en-US" w:eastAsia="zh-CN"/>
              </w:rPr>
              <w:t>/</w:t>
            </w:r>
            <w:r>
              <w:rPr>
                <w:rFonts w:ascii="Times New Roman"/>
                <w:sz w:val="18"/>
                <w:szCs w:val="18"/>
                <w:highlight w:val="none"/>
              </w:rPr>
              <w:t>L</w:t>
            </w:r>
          </w:p>
        </w:tc>
        <w:tc>
          <w:tcPr>
            <w:tcW w:w="478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允许差</w:t>
            </w:r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hint="eastAsia" w:ascii="Times New Roman"/>
                <w:strike w:val="0"/>
                <w:dstrike w:val="0"/>
                <w:sz w:val="18"/>
                <w:szCs w:val="18"/>
                <w:highlight w:val="yellow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000000" w:sz="12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color="000000" w:sz="12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85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c>
          <w:tcPr>
            <w:tcW w:w="4785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85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85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pStyle w:val="22"/>
        <w:spacing w:before="312" w:after="312"/>
      </w:pPr>
      <w:r>
        <w:rPr>
          <w:rFonts w:hint="eastAsia"/>
        </w:rPr>
        <w:t>质量保证与控制</w:t>
      </w:r>
    </w:p>
    <w:p>
      <w:pPr>
        <w:pStyle w:val="22"/>
        <w:numPr>
          <w:ilvl w:val="0"/>
          <w:numId w:val="0"/>
        </w:numPr>
        <w:spacing w:beforeLines="0" w:afterLines="0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每周用自制的控制标样（如有国家级或行业级标样时，应首先使用）校核一次本部分分析方法的有效性。当过程失控时，应找出原因，纠正错误，重新进行校核。</w:t>
      </w:r>
    </w:p>
    <w:p>
      <w:pPr>
        <w:pStyle w:val="19"/>
      </w:pPr>
    </w:p>
    <w:p>
      <w:pPr>
        <w:pStyle w:val="19"/>
      </w:pPr>
    </w:p>
    <w:p>
      <w:pPr>
        <w:pStyle w:val="19"/>
      </w:pPr>
    </w:p>
    <w:p>
      <w:pPr>
        <w:pStyle w:val="19"/>
      </w:pPr>
      <w:r>
        <w:pict>
          <v:shape id="Straight Connector 14" o:spid="_x0000_s1040" o:spt="32" type="#_x0000_t32" style="position:absolute;left:0pt;margin-left:160.85pt;margin-top:9.1pt;height:0.05pt;width:127.5pt;z-index:1024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</w:p>
    <w:p>
      <w:pPr>
        <w:rPr>
          <w:rFonts w:ascii="宋体" w:hAnsi="Times New Roman" w:cs="Times New Roman"/>
        </w:rPr>
      </w:pPr>
    </w:p>
    <w:p>
      <w:pPr>
        <w:tabs>
          <w:tab w:val="left" w:pos="628"/>
        </w:tabs>
        <w:jc w:val="left"/>
        <w:rPr>
          <w:rFonts w:ascii="宋体" w:hAnsi="Times New Roman" w:cs="Times New Roman"/>
        </w:rPr>
      </w:pPr>
    </w:p>
    <w:sectPr>
      <w:headerReference r:id="rId17" w:type="first"/>
      <w:footerReference r:id="rId19" w:type="first"/>
      <w:footerReference r:id="rId18" w:type="default"/>
      <w:pgSz w:w="11906" w:h="16838"/>
      <w:pgMar w:top="567" w:right="1134" w:bottom="1134" w:left="1418" w:header="1417" w:footer="1134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ZWAdobeF">
    <w:panose1 w:val="00000000000000000000"/>
    <w:charset w:val="00"/>
    <w:family w:val="auto"/>
    <w:pitch w:val="default"/>
    <w:sig w:usb0="00000001" w:usb1="00000000" w:usb2="00000000" w:usb3="00000000" w:csb0="400001FF" w:csb1="FFFF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Mongolian Baiti">
    <w:altName w:val="Viner Hand ITC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/>
      </w:rPr>
      <w:t>I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60" o:spid="_x0000_s2060" o:spt="202" type="#_x0000_t202" style="position:absolute;left:0pt;margin-top:0pt;height:144pt;width:144pt;mso-position-horizontal:left;mso-position-horizontal-relative:margin;mso-wrap-style:none;z-index:251895808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7" o:spid="_x0000_s2057" o:spt="202" type="#_x0000_t202" style="position:absolute;left:0pt;margin-top:0pt;height:144pt;width:144pt;mso-position-horizontal:right;mso-position-horizontal-relative:margin;mso-wrap-style:none;z-index:251713536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8" o:spid="_x0000_s2058" o:spt="202" type="#_x0000_t202" style="position:absolute;left:0pt;margin-top:0pt;height:144pt;width:144pt;mso-position-horizontal:right;mso-position-horizontal-relative:margin;mso-wrap-style:none;z-index:251748352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9" o:spid="_x0000_s2059" o:spt="202" type="#_x0000_t202" style="position:absolute;left:0pt;margin-top:0pt;height:144pt;width:144pt;mso-position-horizontal:left;mso-position-horizontal-relative:margin;mso-wrap-style:none;z-index:251804672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both"/>
      <w:rPr>
        <w:rFonts w:hint="eastAsia"/>
      </w:rPr>
    </w:pPr>
    <w:r>
      <w:rPr>
        <w:rFonts w:hint="eastAsia"/>
        <w:lang w:val="en-US" w:eastAsia="zh-CN"/>
      </w:rPr>
      <w:t xml:space="preserve">                                                                                      </w:t>
    </w:r>
    <w:r>
      <w:rPr>
        <w:rFonts w:hint="eastAsia"/>
      </w:rPr>
      <w:t>GB/T XXXX.</w:t>
    </w:r>
    <w:r>
      <w:rPr>
        <w:rFonts w:hint="eastAsia"/>
        <w:lang w:val="en-US" w:eastAsia="zh-CN"/>
      </w:rPr>
      <w:t>5</w:t>
    </w:r>
    <w:r>
      <w:rPr>
        <w:rFonts w:hint="eastAsia"/>
      </w:rPr>
      <w:t>-</w:t>
    </w:r>
    <w:r>
      <w:rPr>
        <w:rFonts w:hint="eastAsia"/>
        <w:lang w:val="en-US" w:eastAsia="zh-CN"/>
      </w:rPr>
      <w:t>201</w:t>
    </w:r>
    <w:r>
      <w:rPr>
        <w:rFonts w:hint="eastAsia"/>
      </w:rPr>
      <w:t>X</w:t>
    </w:r>
  </w:p>
  <w:p>
    <w:pPr>
      <w:pStyle w:val="8"/>
      <w:wordWrap w:val="0"/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both"/>
      <w:rPr>
        <w:rFonts w:hint="eastAsia"/>
      </w:rPr>
    </w:pPr>
    <w:r>
      <w:rPr>
        <w:rFonts w:hint="eastAsia"/>
      </w:rPr>
      <w:t>GB/T XXXX.</w:t>
    </w:r>
    <w:r>
      <w:rPr>
        <w:rFonts w:hint="eastAsia"/>
        <w:lang w:val="en-US" w:eastAsia="zh-CN"/>
      </w:rPr>
      <w:t>5</w:t>
    </w:r>
    <w:r>
      <w:rPr>
        <w:rFonts w:hint="eastAsia"/>
      </w:rPr>
      <w:t>-</w:t>
    </w:r>
    <w:r>
      <w:rPr>
        <w:rFonts w:hint="eastAsia"/>
        <w:lang w:val="en-US" w:eastAsia="zh-CN"/>
      </w:rPr>
      <w:t>201</w:t>
    </w:r>
    <w:r>
      <w:rPr>
        <w:rFonts w:hint="eastAsia"/>
      </w:rPr>
      <w:t>X</w:t>
    </w:r>
  </w:p>
  <w:p>
    <w:pPr>
      <w:pStyle w:val="8"/>
      <w:wordWrap w:val="0"/>
      <w:jc w:val="both"/>
      <w:rPr>
        <w:rFonts w:hint="eastAsi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  <w:r>
      <w:rPr>
        <w:rFonts w:hint="eastAsia"/>
        <w:lang w:val="en-US" w:eastAsia="zh-CN"/>
      </w:rPr>
      <w:t xml:space="preserve">                                                                                      </w:t>
    </w:r>
    <w:r>
      <w:rPr>
        <w:rFonts w:hint="eastAsia"/>
      </w:rPr>
      <w:t>GB/T XXXX.</w:t>
    </w:r>
    <w:r>
      <w:rPr>
        <w:rFonts w:hint="eastAsia"/>
        <w:lang w:val="en-US" w:eastAsia="zh-CN"/>
      </w:rPr>
      <w:t>5</w:t>
    </w:r>
    <w:r>
      <w:rPr>
        <w:rFonts w:hint="eastAsia"/>
      </w:rPr>
      <w:t>-</w:t>
    </w:r>
    <w:r>
      <w:rPr>
        <w:rFonts w:hint="eastAsia"/>
        <w:lang w:val="en-US" w:eastAsia="zh-CN"/>
      </w:rPr>
      <w:t>201</w:t>
    </w:r>
    <w:r>
      <w:rPr>
        <w:rFonts w:hint="eastAsia"/>
      </w:rPr>
      <w:t>X</w:t>
    </w:r>
  </w:p>
  <w:p>
    <w:pPr>
      <w:pStyle w:val="8"/>
      <w:rPr>
        <w:rFonts w:hint="eastAsi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  <w:r>
      <w:rPr>
        <w:rFonts w:hint="eastAsia"/>
      </w:rPr>
      <w:t>GB/T XXXX.</w:t>
    </w:r>
    <w:r>
      <w:rPr>
        <w:rFonts w:hint="eastAsia"/>
        <w:lang w:val="en-US" w:eastAsia="zh-CN"/>
      </w:rPr>
      <w:t>5</w:t>
    </w:r>
    <w:r>
      <w:rPr>
        <w:rFonts w:hint="eastAsia"/>
      </w:rPr>
      <w:t>-</w:t>
    </w:r>
    <w:r>
      <w:rPr>
        <w:rFonts w:hint="eastAsia"/>
        <w:lang w:val="en-US" w:eastAsia="zh-CN"/>
      </w:rPr>
      <w:t>201</w:t>
    </w:r>
    <w:r>
      <w:rPr>
        <w:rFonts w:hint="eastAsia"/>
      </w:rPr>
      <w:t>X</w:t>
    </w:r>
  </w:p>
  <w:p>
    <w:pPr>
      <w:pStyle w:val="8"/>
      <w:rPr>
        <w:rFonts w:hint="eastAsia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  <w:r>
      <w:rPr>
        <w:rFonts w:hint="eastAsia"/>
        <w:lang w:val="en-US" w:eastAsia="zh-CN"/>
      </w:rPr>
      <w:t xml:space="preserve">                                                                                      </w:t>
    </w:r>
    <w:r>
      <w:rPr>
        <w:rFonts w:hint="eastAsia"/>
      </w:rPr>
      <w:t>GB/T XXXX.</w:t>
    </w:r>
    <w:r>
      <w:rPr>
        <w:rFonts w:hint="eastAsia"/>
        <w:lang w:val="en-US" w:eastAsia="zh-CN"/>
      </w:rPr>
      <w:t>5</w:t>
    </w:r>
    <w:r>
      <w:rPr>
        <w:rFonts w:hint="eastAsia"/>
      </w:rPr>
      <w:t>-</w:t>
    </w:r>
    <w:r>
      <w:rPr>
        <w:rFonts w:hint="eastAsia"/>
        <w:lang w:val="en-US" w:eastAsia="zh-CN"/>
      </w:rPr>
      <w:t>201</w:t>
    </w:r>
    <w:r>
      <w:rPr>
        <w:rFonts w:hint="eastAsia"/>
      </w:rPr>
      <w:t>X</w:t>
    </w:r>
  </w:p>
  <w:p>
    <w:pPr>
      <w:pStyle w:val="8"/>
      <w:rPr>
        <w:rFonts w:hint="eastAsia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  <w:r>
      <w:rPr>
        <w:rFonts w:hint="eastAsia"/>
      </w:rPr>
      <w:t>GB/T XXXX.</w:t>
    </w:r>
    <w:r>
      <w:rPr>
        <w:rFonts w:hint="eastAsia"/>
        <w:lang w:val="en-US" w:eastAsia="zh-CN"/>
      </w:rPr>
      <w:t>5</w:t>
    </w:r>
    <w:r>
      <w:rPr>
        <w:rFonts w:hint="eastAsia"/>
      </w:rPr>
      <w:t>-</w:t>
    </w:r>
    <w:r>
      <w:rPr>
        <w:rFonts w:hint="eastAsia"/>
        <w:lang w:val="en-US" w:eastAsia="zh-CN"/>
      </w:rPr>
      <w:t>201</w:t>
    </w:r>
    <w:r>
      <w:rPr>
        <w:rFonts w:hint="eastAsia"/>
      </w:rPr>
      <w:t>X</w:t>
    </w:r>
  </w:p>
  <w:p>
    <w:pPr>
      <w:pStyle w:val="8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3270883">
    <w:nsid w:val="1FC91163"/>
    <w:multiLevelType w:val="multilevel"/>
    <w:tmpl w:val="1FC91163"/>
    <w:lvl w:ilvl="0" w:tentative="1">
      <w:start w:val="1"/>
      <w:numFmt w:val="decimal"/>
      <w:pStyle w:val="2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spacing w:val="0"/>
        <w:kern w:val="0"/>
        <w:position w:val="0"/>
        <w:sz w:val="21"/>
        <w:szCs w:val="21"/>
        <w:u w:val="none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5332708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C1B"/>
    <w:rsid w:val="00005165"/>
    <w:rsid w:val="000062E5"/>
    <w:rsid w:val="000067E4"/>
    <w:rsid w:val="00006908"/>
    <w:rsid w:val="0000770B"/>
    <w:rsid w:val="000117B1"/>
    <w:rsid w:val="00011E71"/>
    <w:rsid w:val="00012D7E"/>
    <w:rsid w:val="000133B3"/>
    <w:rsid w:val="0001397A"/>
    <w:rsid w:val="00013AE8"/>
    <w:rsid w:val="00013B3D"/>
    <w:rsid w:val="0001478B"/>
    <w:rsid w:val="00015FF5"/>
    <w:rsid w:val="000172D1"/>
    <w:rsid w:val="0001757B"/>
    <w:rsid w:val="000178FD"/>
    <w:rsid w:val="00022527"/>
    <w:rsid w:val="000232A1"/>
    <w:rsid w:val="00023616"/>
    <w:rsid w:val="000236DC"/>
    <w:rsid w:val="0002384A"/>
    <w:rsid w:val="00026991"/>
    <w:rsid w:val="00026ABD"/>
    <w:rsid w:val="000301A3"/>
    <w:rsid w:val="00030AB4"/>
    <w:rsid w:val="0003152F"/>
    <w:rsid w:val="000347E1"/>
    <w:rsid w:val="00035FDE"/>
    <w:rsid w:val="00037547"/>
    <w:rsid w:val="00040D21"/>
    <w:rsid w:val="00040F83"/>
    <w:rsid w:val="0004192C"/>
    <w:rsid w:val="00041E9B"/>
    <w:rsid w:val="000421DB"/>
    <w:rsid w:val="00042EE1"/>
    <w:rsid w:val="0004438F"/>
    <w:rsid w:val="000449AE"/>
    <w:rsid w:val="00045D73"/>
    <w:rsid w:val="00046E1B"/>
    <w:rsid w:val="00047E1F"/>
    <w:rsid w:val="000505B5"/>
    <w:rsid w:val="0005137F"/>
    <w:rsid w:val="000520A7"/>
    <w:rsid w:val="00052500"/>
    <w:rsid w:val="00052E04"/>
    <w:rsid w:val="00056482"/>
    <w:rsid w:val="00057DAF"/>
    <w:rsid w:val="000600BB"/>
    <w:rsid w:val="00062ABF"/>
    <w:rsid w:val="00063459"/>
    <w:rsid w:val="000651D7"/>
    <w:rsid w:val="00066463"/>
    <w:rsid w:val="00066C5F"/>
    <w:rsid w:val="0007006A"/>
    <w:rsid w:val="00071366"/>
    <w:rsid w:val="00073425"/>
    <w:rsid w:val="00074747"/>
    <w:rsid w:val="00075DED"/>
    <w:rsid w:val="000763F8"/>
    <w:rsid w:val="0007675A"/>
    <w:rsid w:val="00077372"/>
    <w:rsid w:val="00077925"/>
    <w:rsid w:val="00080B1A"/>
    <w:rsid w:val="000811B4"/>
    <w:rsid w:val="00081355"/>
    <w:rsid w:val="0008277B"/>
    <w:rsid w:val="00083697"/>
    <w:rsid w:val="000839DF"/>
    <w:rsid w:val="00083B47"/>
    <w:rsid w:val="0008721A"/>
    <w:rsid w:val="0008724A"/>
    <w:rsid w:val="000903F3"/>
    <w:rsid w:val="00090A4E"/>
    <w:rsid w:val="000929DE"/>
    <w:rsid w:val="00092B6E"/>
    <w:rsid w:val="000939BA"/>
    <w:rsid w:val="00094370"/>
    <w:rsid w:val="00094780"/>
    <w:rsid w:val="00094EC4"/>
    <w:rsid w:val="00095423"/>
    <w:rsid w:val="00095FA3"/>
    <w:rsid w:val="00096ABE"/>
    <w:rsid w:val="000A10D2"/>
    <w:rsid w:val="000A26E7"/>
    <w:rsid w:val="000A3A1B"/>
    <w:rsid w:val="000A517A"/>
    <w:rsid w:val="000A54CB"/>
    <w:rsid w:val="000A5EBE"/>
    <w:rsid w:val="000A7A3F"/>
    <w:rsid w:val="000A7B46"/>
    <w:rsid w:val="000B03EA"/>
    <w:rsid w:val="000B0842"/>
    <w:rsid w:val="000B1BF8"/>
    <w:rsid w:val="000B2FF0"/>
    <w:rsid w:val="000B39B7"/>
    <w:rsid w:val="000B3F07"/>
    <w:rsid w:val="000B43FD"/>
    <w:rsid w:val="000B6FD1"/>
    <w:rsid w:val="000C0129"/>
    <w:rsid w:val="000C1132"/>
    <w:rsid w:val="000C19B1"/>
    <w:rsid w:val="000C287C"/>
    <w:rsid w:val="000C29BF"/>
    <w:rsid w:val="000C2A4C"/>
    <w:rsid w:val="000C3569"/>
    <w:rsid w:val="000C35A3"/>
    <w:rsid w:val="000C4B92"/>
    <w:rsid w:val="000C6DD7"/>
    <w:rsid w:val="000C7563"/>
    <w:rsid w:val="000D027B"/>
    <w:rsid w:val="000D11BD"/>
    <w:rsid w:val="000D1A9C"/>
    <w:rsid w:val="000D58EC"/>
    <w:rsid w:val="000D6D53"/>
    <w:rsid w:val="000D723D"/>
    <w:rsid w:val="000E1EEF"/>
    <w:rsid w:val="000F013D"/>
    <w:rsid w:val="000F1223"/>
    <w:rsid w:val="000F31A3"/>
    <w:rsid w:val="000F37F1"/>
    <w:rsid w:val="000F636A"/>
    <w:rsid w:val="000F6FC9"/>
    <w:rsid w:val="00100943"/>
    <w:rsid w:val="00101663"/>
    <w:rsid w:val="00104AD4"/>
    <w:rsid w:val="00104EF3"/>
    <w:rsid w:val="00105D31"/>
    <w:rsid w:val="00106A91"/>
    <w:rsid w:val="001075E6"/>
    <w:rsid w:val="0011237D"/>
    <w:rsid w:val="001161D7"/>
    <w:rsid w:val="001178FA"/>
    <w:rsid w:val="00122A27"/>
    <w:rsid w:val="001242AE"/>
    <w:rsid w:val="001264FC"/>
    <w:rsid w:val="00126788"/>
    <w:rsid w:val="00126829"/>
    <w:rsid w:val="00131C85"/>
    <w:rsid w:val="00132467"/>
    <w:rsid w:val="001333F3"/>
    <w:rsid w:val="00136095"/>
    <w:rsid w:val="00136AF7"/>
    <w:rsid w:val="00136F3C"/>
    <w:rsid w:val="00136F51"/>
    <w:rsid w:val="00137F88"/>
    <w:rsid w:val="00140584"/>
    <w:rsid w:val="00140D76"/>
    <w:rsid w:val="00140F6B"/>
    <w:rsid w:val="0014131B"/>
    <w:rsid w:val="0014527C"/>
    <w:rsid w:val="00145291"/>
    <w:rsid w:val="00145D36"/>
    <w:rsid w:val="00147396"/>
    <w:rsid w:val="00147C59"/>
    <w:rsid w:val="00147EA1"/>
    <w:rsid w:val="001500B6"/>
    <w:rsid w:val="00152AED"/>
    <w:rsid w:val="001533B0"/>
    <w:rsid w:val="00153A93"/>
    <w:rsid w:val="001574A5"/>
    <w:rsid w:val="0015790B"/>
    <w:rsid w:val="00157CB9"/>
    <w:rsid w:val="00160300"/>
    <w:rsid w:val="00160D1D"/>
    <w:rsid w:val="00160E14"/>
    <w:rsid w:val="00161482"/>
    <w:rsid w:val="00162301"/>
    <w:rsid w:val="00166479"/>
    <w:rsid w:val="00166B3F"/>
    <w:rsid w:val="001761AC"/>
    <w:rsid w:val="001771F8"/>
    <w:rsid w:val="0017773D"/>
    <w:rsid w:val="00180CBE"/>
    <w:rsid w:val="00180CE3"/>
    <w:rsid w:val="00180D26"/>
    <w:rsid w:val="00184005"/>
    <w:rsid w:val="0018510B"/>
    <w:rsid w:val="001857B1"/>
    <w:rsid w:val="001857F2"/>
    <w:rsid w:val="00185E4C"/>
    <w:rsid w:val="00185F39"/>
    <w:rsid w:val="00186889"/>
    <w:rsid w:val="001914A1"/>
    <w:rsid w:val="0019242F"/>
    <w:rsid w:val="00194A8B"/>
    <w:rsid w:val="00194CCE"/>
    <w:rsid w:val="00196710"/>
    <w:rsid w:val="001A1AF5"/>
    <w:rsid w:val="001A2CC8"/>
    <w:rsid w:val="001A3B82"/>
    <w:rsid w:val="001A556A"/>
    <w:rsid w:val="001A571E"/>
    <w:rsid w:val="001B0752"/>
    <w:rsid w:val="001B14E0"/>
    <w:rsid w:val="001B3531"/>
    <w:rsid w:val="001B56C3"/>
    <w:rsid w:val="001B5E3A"/>
    <w:rsid w:val="001B661A"/>
    <w:rsid w:val="001B68B9"/>
    <w:rsid w:val="001B6B75"/>
    <w:rsid w:val="001C0DD9"/>
    <w:rsid w:val="001C1B20"/>
    <w:rsid w:val="001C1D0F"/>
    <w:rsid w:val="001C24D7"/>
    <w:rsid w:val="001C5F4B"/>
    <w:rsid w:val="001C672F"/>
    <w:rsid w:val="001D0361"/>
    <w:rsid w:val="001D145E"/>
    <w:rsid w:val="001D3112"/>
    <w:rsid w:val="001D4AE8"/>
    <w:rsid w:val="001D51F9"/>
    <w:rsid w:val="001E2BA5"/>
    <w:rsid w:val="001E3305"/>
    <w:rsid w:val="001E368E"/>
    <w:rsid w:val="001E3E0E"/>
    <w:rsid w:val="001E46DB"/>
    <w:rsid w:val="001E471B"/>
    <w:rsid w:val="001E4C30"/>
    <w:rsid w:val="001E74D0"/>
    <w:rsid w:val="001E7952"/>
    <w:rsid w:val="001E7C32"/>
    <w:rsid w:val="001F0C99"/>
    <w:rsid w:val="001F1515"/>
    <w:rsid w:val="001F17FE"/>
    <w:rsid w:val="001F1B64"/>
    <w:rsid w:val="001F2042"/>
    <w:rsid w:val="001F47B8"/>
    <w:rsid w:val="002013D9"/>
    <w:rsid w:val="002020E5"/>
    <w:rsid w:val="002077B7"/>
    <w:rsid w:val="00207835"/>
    <w:rsid w:val="00210254"/>
    <w:rsid w:val="0021276D"/>
    <w:rsid w:val="00213A83"/>
    <w:rsid w:val="002156DD"/>
    <w:rsid w:val="00217D9C"/>
    <w:rsid w:val="00217F20"/>
    <w:rsid w:val="00221642"/>
    <w:rsid w:val="00221711"/>
    <w:rsid w:val="00221822"/>
    <w:rsid w:val="00222747"/>
    <w:rsid w:val="0022391C"/>
    <w:rsid w:val="002274AD"/>
    <w:rsid w:val="0022772B"/>
    <w:rsid w:val="00227AD4"/>
    <w:rsid w:val="002307A1"/>
    <w:rsid w:val="0023192B"/>
    <w:rsid w:val="00232031"/>
    <w:rsid w:val="00233CA4"/>
    <w:rsid w:val="00233E16"/>
    <w:rsid w:val="0023445F"/>
    <w:rsid w:val="00234AAF"/>
    <w:rsid w:val="002352C0"/>
    <w:rsid w:val="00240202"/>
    <w:rsid w:val="00241492"/>
    <w:rsid w:val="00241856"/>
    <w:rsid w:val="0024305F"/>
    <w:rsid w:val="00243222"/>
    <w:rsid w:val="00243BF5"/>
    <w:rsid w:val="00244161"/>
    <w:rsid w:val="00245C1D"/>
    <w:rsid w:val="002468B9"/>
    <w:rsid w:val="0025268F"/>
    <w:rsid w:val="0025461F"/>
    <w:rsid w:val="00257235"/>
    <w:rsid w:val="00257876"/>
    <w:rsid w:val="00260093"/>
    <w:rsid w:val="00263A72"/>
    <w:rsid w:val="00263DB0"/>
    <w:rsid w:val="00264789"/>
    <w:rsid w:val="00265F0A"/>
    <w:rsid w:val="00266C59"/>
    <w:rsid w:val="0026702C"/>
    <w:rsid w:val="00270DF8"/>
    <w:rsid w:val="00270F25"/>
    <w:rsid w:val="00270F6F"/>
    <w:rsid w:val="002729D4"/>
    <w:rsid w:val="00272E23"/>
    <w:rsid w:val="00273F61"/>
    <w:rsid w:val="00273F94"/>
    <w:rsid w:val="002740D7"/>
    <w:rsid w:val="00274B82"/>
    <w:rsid w:val="00275911"/>
    <w:rsid w:val="002819BE"/>
    <w:rsid w:val="00283FA8"/>
    <w:rsid w:val="00286960"/>
    <w:rsid w:val="0028699D"/>
    <w:rsid w:val="002911E4"/>
    <w:rsid w:val="00291827"/>
    <w:rsid w:val="00291A53"/>
    <w:rsid w:val="00291D5C"/>
    <w:rsid w:val="00291D6C"/>
    <w:rsid w:val="00292057"/>
    <w:rsid w:val="0029243B"/>
    <w:rsid w:val="002955F5"/>
    <w:rsid w:val="0029658F"/>
    <w:rsid w:val="0029697D"/>
    <w:rsid w:val="002979D0"/>
    <w:rsid w:val="002A20AD"/>
    <w:rsid w:val="002A6337"/>
    <w:rsid w:val="002A6C81"/>
    <w:rsid w:val="002B0DF6"/>
    <w:rsid w:val="002B1915"/>
    <w:rsid w:val="002B42E7"/>
    <w:rsid w:val="002B5BB0"/>
    <w:rsid w:val="002B62DF"/>
    <w:rsid w:val="002B7F19"/>
    <w:rsid w:val="002C145A"/>
    <w:rsid w:val="002C1FEA"/>
    <w:rsid w:val="002C31F3"/>
    <w:rsid w:val="002C4C61"/>
    <w:rsid w:val="002C5592"/>
    <w:rsid w:val="002C5F16"/>
    <w:rsid w:val="002C6650"/>
    <w:rsid w:val="002C6768"/>
    <w:rsid w:val="002C69FD"/>
    <w:rsid w:val="002D0958"/>
    <w:rsid w:val="002D10D1"/>
    <w:rsid w:val="002D2CCC"/>
    <w:rsid w:val="002D5290"/>
    <w:rsid w:val="002D688C"/>
    <w:rsid w:val="002D7232"/>
    <w:rsid w:val="002D7FE7"/>
    <w:rsid w:val="002E05D2"/>
    <w:rsid w:val="002E0F82"/>
    <w:rsid w:val="002E10F7"/>
    <w:rsid w:val="002E177A"/>
    <w:rsid w:val="002E4050"/>
    <w:rsid w:val="002E4BA9"/>
    <w:rsid w:val="002E4CBA"/>
    <w:rsid w:val="002E60EA"/>
    <w:rsid w:val="002E61F4"/>
    <w:rsid w:val="002F0EDD"/>
    <w:rsid w:val="002F187E"/>
    <w:rsid w:val="002F25E3"/>
    <w:rsid w:val="002F340D"/>
    <w:rsid w:val="002F37AA"/>
    <w:rsid w:val="002F41F1"/>
    <w:rsid w:val="002F42CD"/>
    <w:rsid w:val="002F7CB5"/>
    <w:rsid w:val="0030190B"/>
    <w:rsid w:val="00307C60"/>
    <w:rsid w:val="003117A2"/>
    <w:rsid w:val="00312E27"/>
    <w:rsid w:val="0031486D"/>
    <w:rsid w:val="003148F4"/>
    <w:rsid w:val="0031514A"/>
    <w:rsid w:val="00316F3A"/>
    <w:rsid w:val="00317254"/>
    <w:rsid w:val="00317D3B"/>
    <w:rsid w:val="00321405"/>
    <w:rsid w:val="00321CD5"/>
    <w:rsid w:val="0032387B"/>
    <w:rsid w:val="00330422"/>
    <w:rsid w:val="00331858"/>
    <w:rsid w:val="00331CCE"/>
    <w:rsid w:val="0033209C"/>
    <w:rsid w:val="00332B3E"/>
    <w:rsid w:val="00333A2C"/>
    <w:rsid w:val="00333ED1"/>
    <w:rsid w:val="00334A09"/>
    <w:rsid w:val="00340286"/>
    <w:rsid w:val="003406AD"/>
    <w:rsid w:val="00340A52"/>
    <w:rsid w:val="00341241"/>
    <w:rsid w:val="0034266D"/>
    <w:rsid w:val="00342C6E"/>
    <w:rsid w:val="00344144"/>
    <w:rsid w:val="00344AA2"/>
    <w:rsid w:val="003469DD"/>
    <w:rsid w:val="00346D21"/>
    <w:rsid w:val="00347560"/>
    <w:rsid w:val="00347DE6"/>
    <w:rsid w:val="00350139"/>
    <w:rsid w:val="003511AD"/>
    <w:rsid w:val="00351BD0"/>
    <w:rsid w:val="003528A8"/>
    <w:rsid w:val="00354402"/>
    <w:rsid w:val="003555F6"/>
    <w:rsid w:val="00356768"/>
    <w:rsid w:val="003569C8"/>
    <w:rsid w:val="003572A3"/>
    <w:rsid w:val="00357A8E"/>
    <w:rsid w:val="00357C9F"/>
    <w:rsid w:val="00357F93"/>
    <w:rsid w:val="00361283"/>
    <w:rsid w:val="003618E7"/>
    <w:rsid w:val="00362568"/>
    <w:rsid w:val="003635DE"/>
    <w:rsid w:val="00363782"/>
    <w:rsid w:val="00366792"/>
    <w:rsid w:val="00367086"/>
    <w:rsid w:val="003703EE"/>
    <w:rsid w:val="00375DA0"/>
    <w:rsid w:val="00376E18"/>
    <w:rsid w:val="003772D2"/>
    <w:rsid w:val="00377502"/>
    <w:rsid w:val="0038140F"/>
    <w:rsid w:val="0038146E"/>
    <w:rsid w:val="00383D11"/>
    <w:rsid w:val="0038441B"/>
    <w:rsid w:val="003848D9"/>
    <w:rsid w:val="003871A5"/>
    <w:rsid w:val="003916D7"/>
    <w:rsid w:val="00391A46"/>
    <w:rsid w:val="00392C67"/>
    <w:rsid w:val="00393BDD"/>
    <w:rsid w:val="00397964"/>
    <w:rsid w:val="00397FCE"/>
    <w:rsid w:val="003A1B52"/>
    <w:rsid w:val="003A1FF8"/>
    <w:rsid w:val="003A2009"/>
    <w:rsid w:val="003A3D21"/>
    <w:rsid w:val="003A6AC8"/>
    <w:rsid w:val="003A762D"/>
    <w:rsid w:val="003A7ADB"/>
    <w:rsid w:val="003A7E75"/>
    <w:rsid w:val="003B107B"/>
    <w:rsid w:val="003B2686"/>
    <w:rsid w:val="003B4A26"/>
    <w:rsid w:val="003B56E1"/>
    <w:rsid w:val="003B71B9"/>
    <w:rsid w:val="003C13F6"/>
    <w:rsid w:val="003C1465"/>
    <w:rsid w:val="003C1B1F"/>
    <w:rsid w:val="003C2C05"/>
    <w:rsid w:val="003C5103"/>
    <w:rsid w:val="003C5A19"/>
    <w:rsid w:val="003C66F8"/>
    <w:rsid w:val="003C6CD7"/>
    <w:rsid w:val="003C76DF"/>
    <w:rsid w:val="003D16DC"/>
    <w:rsid w:val="003D26B7"/>
    <w:rsid w:val="003D2C44"/>
    <w:rsid w:val="003D3796"/>
    <w:rsid w:val="003D40AC"/>
    <w:rsid w:val="003D52CB"/>
    <w:rsid w:val="003D5457"/>
    <w:rsid w:val="003D70B8"/>
    <w:rsid w:val="003D72B0"/>
    <w:rsid w:val="003D7DE8"/>
    <w:rsid w:val="003E0FC3"/>
    <w:rsid w:val="003E2992"/>
    <w:rsid w:val="003E38A0"/>
    <w:rsid w:val="003E49C3"/>
    <w:rsid w:val="003E70E6"/>
    <w:rsid w:val="003E777E"/>
    <w:rsid w:val="003F0D1F"/>
    <w:rsid w:val="003F2D93"/>
    <w:rsid w:val="003F2E48"/>
    <w:rsid w:val="003F4AE9"/>
    <w:rsid w:val="003F680D"/>
    <w:rsid w:val="003F7260"/>
    <w:rsid w:val="003F7968"/>
    <w:rsid w:val="003F796F"/>
    <w:rsid w:val="003F79C5"/>
    <w:rsid w:val="0040003B"/>
    <w:rsid w:val="00402056"/>
    <w:rsid w:val="00403970"/>
    <w:rsid w:val="00406886"/>
    <w:rsid w:val="00407084"/>
    <w:rsid w:val="00410DE1"/>
    <w:rsid w:val="00411F32"/>
    <w:rsid w:val="00411F4E"/>
    <w:rsid w:val="00412248"/>
    <w:rsid w:val="004122C3"/>
    <w:rsid w:val="00412645"/>
    <w:rsid w:val="004129F5"/>
    <w:rsid w:val="00412C4E"/>
    <w:rsid w:val="004136BA"/>
    <w:rsid w:val="00413904"/>
    <w:rsid w:val="00414603"/>
    <w:rsid w:val="00414CDD"/>
    <w:rsid w:val="00414D9B"/>
    <w:rsid w:val="004156C8"/>
    <w:rsid w:val="004242BC"/>
    <w:rsid w:val="004242E5"/>
    <w:rsid w:val="00425F3C"/>
    <w:rsid w:val="00426672"/>
    <w:rsid w:val="00426A85"/>
    <w:rsid w:val="00427906"/>
    <w:rsid w:val="00431322"/>
    <w:rsid w:val="00435610"/>
    <w:rsid w:val="0043676F"/>
    <w:rsid w:val="00441924"/>
    <w:rsid w:val="00442306"/>
    <w:rsid w:val="00442D95"/>
    <w:rsid w:val="00445526"/>
    <w:rsid w:val="004465B3"/>
    <w:rsid w:val="0044728A"/>
    <w:rsid w:val="00450424"/>
    <w:rsid w:val="0045279D"/>
    <w:rsid w:val="00452806"/>
    <w:rsid w:val="004532C6"/>
    <w:rsid w:val="00453B93"/>
    <w:rsid w:val="00453FCF"/>
    <w:rsid w:val="004620CD"/>
    <w:rsid w:val="0046297D"/>
    <w:rsid w:val="00464997"/>
    <w:rsid w:val="00465222"/>
    <w:rsid w:val="00465670"/>
    <w:rsid w:val="00465F53"/>
    <w:rsid w:val="00471458"/>
    <w:rsid w:val="00473D2B"/>
    <w:rsid w:val="00476B0A"/>
    <w:rsid w:val="00477146"/>
    <w:rsid w:val="00477A95"/>
    <w:rsid w:val="00480123"/>
    <w:rsid w:val="004803F0"/>
    <w:rsid w:val="00480D31"/>
    <w:rsid w:val="00481EDD"/>
    <w:rsid w:val="004837DF"/>
    <w:rsid w:val="0048386E"/>
    <w:rsid w:val="00483D29"/>
    <w:rsid w:val="00483E86"/>
    <w:rsid w:val="00483F0E"/>
    <w:rsid w:val="00484B36"/>
    <w:rsid w:val="0048533C"/>
    <w:rsid w:val="004856AA"/>
    <w:rsid w:val="004920D2"/>
    <w:rsid w:val="00494870"/>
    <w:rsid w:val="00497EB6"/>
    <w:rsid w:val="004A13B6"/>
    <w:rsid w:val="004A1A4F"/>
    <w:rsid w:val="004A2B05"/>
    <w:rsid w:val="004A334B"/>
    <w:rsid w:val="004A4F92"/>
    <w:rsid w:val="004A50F0"/>
    <w:rsid w:val="004A6D28"/>
    <w:rsid w:val="004B1B16"/>
    <w:rsid w:val="004B1E34"/>
    <w:rsid w:val="004B549C"/>
    <w:rsid w:val="004B5A4F"/>
    <w:rsid w:val="004B6915"/>
    <w:rsid w:val="004B6952"/>
    <w:rsid w:val="004B6D17"/>
    <w:rsid w:val="004B6E02"/>
    <w:rsid w:val="004C19D7"/>
    <w:rsid w:val="004C1C54"/>
    <w:rsid w:val="004C3425"/>
    <w:rsid w:val="004C3B3A"/>
    <w:rsid w:val="004C61B8"/>
    <w:rsid w:val="004C75A2"/>
    <w:rsid w:val="004D13F4"/>
    <w:rsid w:val="004D21FC"/>
    <w:rsid w:val="004D2348"/>
    <w:rsid w:val="004D2C11"/>
    <w:rsid w:val="004D2C17"/>
    <w:rsid w:val="004D3E0A"/>
    <w:rsid w:val="004D6B14"/>
    <w:rsid w:val="004D71EC"/>
    <w:rsid w:val="004D731E"/>
    <w:rsid w:val="004E1E5B"/>
    <w:rsid w:val="004E2994"/>
    <w:rsid w:val="004E2F8A"/>
    <w:rsid w:val="004E4610"/>
    <w:rsid w:val="004E46D4"/>
    <w:rsid w:val="004E5182"/>
    <w:rsid w:val="004E6CAE"/>
    <w:rsid w:val="004E74CC"/>
    <w:rsid w:val="004F1DE9"/>
    <w:rsid w:val="004F27FA"/>
    <w:rsid w:val="004F45C5"/>
    <w:rsid w:val="004F4874"/>
    <w:rsid w:val="004F50F5"/>
    <w:rsid w:val="004F6A89"/>
    <w:rsid w:val="004F7964"/>
    <w:rsid w:val="005000F1"/>
    <w:rsid w:val="00503903"/>
    <w:rsid w:val="00503B77"/>
    <w:rsid w:val="00505EFD"/>
    <w:rsid w:val="005060F6"/>
    <w:rsid w:val="00511D7E"/>
    <w:rsid w:val="005122C5"/>
    <w:rsid w:val="00512D6C"/>
    <w:rsid w:val="0051335F"/>
    <w:rsid w:val="005137C9"/>
    <w:rsid w:val="00514410"/>
    <w:rsid w:val="00521BC8"/>
    <w:rsid w:val="0052236C"/>
    <w:rsid w:val="00530A0E"/>
    <w:rsid w:val="00531359"/>
    <w:rsid w:val="0053225A"/>
    <w:rsid w:val="005327B3"/>
    <w:rsid w:val="0054095A"/>
    <w:rsid w:val="00545DF3"/>
    <w:rsid w:val="00546195"/>
    <w:rsid w:val="0054765B"/>
    <w:rsid w:val="00554868"/>
    <w:rsid w:val="005551A8"/>
    <w:rsid w:val="0055707C"/>
    <w:rsid w:val="00557E18"/>
    <w:rsid w:val="0056040D"/>
    <w:rsid w:val="00561649"/>
    <w:rsid w:val="00562466"/>
    <w:rsid w:val="00562710"/>
    <w:rsid w:val="00563CC2"/>
    <w:rsid w:val="00563D7F"/>
    <w:rsid w:val="00563E5D"/>
    <w:rsid w:val="00564D56"/>
    <w:rsid w:val="00565881"/>
    <w:rsid w:val="005659C8"/>
    <w:rsid w:val="00567849"/>
    <w:rsid w:val="00570057"/>
    <w:rsid w:val="00571562"/>
    <w:rsid w:val="00571856"/>
    <w:rsid w:val="00572DBA"/>
    <w:rsid w:val="00572EFA"/>
    <w:rsid w:val="00573581"/>
    <w:rsid w:val="0057435F"/>
    <w:rsid w:val="00574F11"/>
    <w:rsid w:val="005766D4"/>
    <w:rsid w:val="00577C93"/>
    <w:rsid w:val="00580FB0"/>
    <w:rsid w:val="00584F4A"/>
    <w:rsid w:val="00586656"/>
    <w:rsid w:val="00586A2F"/>
    <w:rsid w:val="00587E8F"/>
    <w:rsid w:val="00587F26"/>
    <w:rsid w:val="00590B32"/>
    <w:rsid w:val="005928E6"/>
    <w:rsid w:val="00595C1D"/>
    <w:rsid w:val="00596F66"/>
    <w:rsid w:val="00597B15"/>
    <w:rsid w:val="005A0358"/>
    <w:rsid w:val="005A1357"/>
    <w:rsid w:val="005A15DE"/>
    <w:rsid w:val="005A1B19"/>
    <w:rsid w:val="005A31D6"/>
    <w:rsid w:val="005A3571"/>
    <w:rsid w:val="005A5745"/>
    <w:rsid w:val="005A6735"/>
    <w:rsid w:val="005B0BB9"/>
    <w:rsid w:val="005B0DA2"/>
    <w:rsid w:val="005B1C56"/>
    <w:rsid w:val="005B1E61"/>
    <w:rsid w:val="005B222A"/>
    <w:rsid w:val="005B29DE"/>
    <w:rsid w:val="005B48D4"/>
    <w:rsid w:val="005B51B5"/>
    <w:rsid w:val="005B5D0B"/>
    <w:rsid w:val="005B6C44"/>
    <w:rsid w:val="005B6D2E"/>
    <w:rsid w:val="005B7604"/>
    <w:rsid w:val="005C1334"/>
    <w:rsid w:val="005C138A"/>
    <w:rsid w:val="005C1752"/>
    <w:rsid w:val="005C1942"/>
    <w:rsid w:val="005C1AB1"/>
    <w:rsid w:val="005C1F58"/>
    <w:rsid w:val="005C2C5F"/>
    <w:rsid w:val="005C6364"/>
    <w:rsid w:val="005C7884"/>
    <w:rsid w:val="005D077D"/>
    <w:rsid w:val="005D0E7E"/>
    <w:rsid w:val="005D13F7"/>
    <w:rsid w:val="005D169A"/>
    <w:rsid w:val="005D378F"/>
    <w:rsid w:val="005D3847"/>
    <w:rsid w:val="005D41DB"/>
    <w:rsid w:val="005D43C5"/>
    <w:rsid w:val="005D448F"/>
    <w:rsid w:val="005D4E22"/>
    <w:rsid w:val="005E0880"/>
    <w:rsid w:val="005E0D6A"/>
    <w:rsid w:val="005E5F48"/>
    <w:rsid w:val="005E683D"/>
    <w:rsid w:val="005E7A68"/>
    <w:rsid w:val="005F08CF"/>
    <w:rsid w:val="005F0BFB"/>
    <w:rsid w:val="005F13AF"/>
    <w:rsid w:val="005F2715"/>
    <w:rsid w:val="005F2CF6"/>
    <w:rsid w:val="005F4D5D"/>
    <w:rsid w:val="005F713E"/>
    <w:rsid w:val="00601205"/>
    <w:rsid w:val="006017E1"/>
    <w:rsid w:val="00601DE9"/>
    <w:rsid w:val="00602274"/>
    <w:rsid w:val="006023A5"/>
    <w:rsid w:val="0060396F"/>
    <w:rsid w:val="00604927"/>
    <w:rsid w:val="00604BB0"/>
    <w:rsid w:val="006055AC"/>
    <w:rsid w:val="00605A86"/>
    <w:rsid w:val="00607E14"/>
    <w:rsid w:val="0061011B"/>
    <w:rsid w:val="006136AD"/>
    <w:rsid w:val="0061463C"/>
    <w:rsid w:val="00617C0E"/>
    <w:rsid w:val="006213AC"/>
    <w:rsid w:val="0062220A"/>
    <w:rsid w:val="00622BF8"/>
    <w:rsid w:val="00630909"/>
    <w:rsid w:val="006311D3"/>
    <w:rsid w:val="00634B2B"/>
    <w:rsid w:val="006359AA"/>
    <w:rsid w:val="00636234"/>
    <w:rsid w:val="0063677D"/>
    <w:rsid w:val="0063714A"/>
    <w:rsid w:val="006405A8"/>
    <w:rsid w:val="00640758"/>
    <w:rsid w:val="006428FB"/>
    <w:rsid w:val="006431AC"/>
    <w:rsid w:val="00643624"/>
    <w:rsid w:val="00643ED2"/>
    <w:rsid w:val="0064486B"/>
    <w:rsid w:val="00644B3A"/>
    <w:rsid w:val="00644CF2"/>
    <w:rsid w:val="00647409"/>
    <w:rsid w:val="00647BCB"/>
    <w:rsid w:val="00651DDD"/>
    <w:rsid w:val="006529EB"/>
    <w:rsid w:val="0065342F"/>
    <w:rsid w:val="0065373B"/>
    <w:rsid w:val="0065510E"/>
    <w:rsid w:val="006567B4"/>
    <w:rsid w:val="006568A8"/>
    <w:rsid w:val="00657F6F"/>
    <w:rsid w:val="00660347"/>
    <w:rsid w:val="0066181F"/>
    <w:rsid w:val="006623E5"/>
    <w:rsid w:val="006638F4"/>
    <w:rsid w:val="00665392"/>
    <w:rsid w:val="00665AC1"/>
    <w:rsid w:val="00665C2E"/>
    <w:rsid w:val="00666C06"/>
    <w:rsid w:val="0066749C"/>
    <w:rsid w:val="00671CB9"/>
    <w:rsid w:val="0067320F"/>
    <w:rsid w:val="00674124"/>
    <w:rsid w:val="00674730"/>
    <w:rsid w:val="00675813"/>
    <w:rsid w:val="00675DE4"/>
    <w:rsid w:val="00676E05"/>
    <w:rsid w:val="006772C5"/>
    <w:rsid w:val="006806F3"/>
    <w:rsid w:val="00681040"/>
    <w:rsid w:val="00682207"/>
    <w:rsid w:val="00682A81"/>
    <w:rsid w:val="00683EE4"/>
    <w:rsid w:val="00684160"/>
    <w:rsid w:val="00685573"/>
    <w:rsid w:val="00685B32"/>
    <w:rsid w:val="006875E5"/>
    <w:rsid w:val="006901C6"/>
    <w:rsid w:val="00691C06"/>
    <w:rsid w:val="00696A64"/>
    <w:rsid w:val="006A1203"/>
    <w:rsid w:val="006A42A4"/>
    <w:rsid w:val="006A4C4E"/>
    <w:rsid w:val="006A7BF1"/>
    <w:rsid w:val="006B0852"/>
    <w:rsid w:val="006B2B96"/>
    <w:rsid w:val="006B2F22"/>
    <w:rsid w:val="006B35A4"/>
    <w:rsid w:val="006B376F"/>
    <w:rsid w:val="006B44EF"/>
    <w:rsid w:val="006B5600"/>
    <w:rsid w:val="006B5785"/>
    <w:rsid w:val="006B5D79"/>
    <w:rsid w:val="006B6B62"/>
    <w:rsid w:val="006B76BD"/>
    <w:rsid w:val="006C02EC"/>
    <w:rsid w:val="006C05BD"/>
    <w:rsid w:val="006C0A12"/>
    <w:rsid w:val="006C0B8A"/>
    <w:rsid w:val="006C14EC"/>
    <w:rsid w:val="006C203C"/>
    <w:rsid w:val="006C23D8"/>
    <w:rsid w:val="006C253D"/>
    <w:rsid w:val="006C4A41"/>
    <w:rsid w:val="006C5CA3"/>
    <w:rsid w:val="006C6359"/>
    <w:rsid w:val="006C68DC"/>
    <w:rsid w:val="006D13A7"/>
    <w:rsid w:val="006D195A"/>
    <w:rsid w:val="006D1F8A"/>
    <w:rsid w:val="006D30F2"/>
    <w:rsid w:val="006D53A2"/>
    <w:rsid w:val="006D609F"/>
    <w:rsid w:val="006E0839"/>
    <w:rsid w:val="006E0F79"/>
    <w:rsid w:val="006E1B24"/>
    <w:rsid w:val="006E4A2C"/>
    <w:rsid w:val="006F0D70"/>
    <w:rsid w:val="006F0FB0"/>
    <w:rsid w:val="006F4618"/>
    <w:rsid w:val="006F5D08"/>
    <w:rsid w:val="006F61C3"/>
    <w:rsid w:val="006F6AAA"/>
    <w:rsid w:val="006F6F64"/>
    <w:rsid w:val="0070190F"/>
    <w:rsid w:val="007069EC"/>
    <w:rsid w:val="00706CB6"/>
    <w:rsid w:val="00715580"/>
    <w:rsid w:val="0071694D"/>
    <w:rsid w:val="00716F15"/>
    <w:rsid w:val="00717D56"/>
    <w:rsid w:val="00723B96"/>
    <w:rsid w:val="007247AB"/>
    <w:rsid w:val="00724954"/>
    <w:rsid w:val="00725606"/>
    <w:rsid w:val="007273D3"/>
    <w:rsid w:val="00730150"/>
    <w:rsid w:val="0073044C"/>
    <w:rsid w:val="0073242A"/>
    <w:rsid w:val="00733797"/>
    <w:rsid w:val="007338DF"/>
    <w:rsid w:val="00733D14"/>
    <w:rsid w:val="0073401F"/>
    <w:rsid w:val="00734E79"/>
    <w:rsid w:val="00734EBD"/>
    <w:rsid w:val="00741BB1"/>
    <w:rsid w:val="007421D1"/>
    <w:rsid w:val="00742A1E"/>
    <w:rsid w:val="00742F8E"/>
    <w:rsid w:val="00744B7A"/>
    <w:rsid w:val="00744C6C"/>
    <w:rsid w:val="00744CBC"/>
    <w:rsid w:val="00747217"/>
    <w:rsid w:val="00750E39"/>
    <w:rsid w:val="00752461"/>
    <w:rsid w:val="00752BB6"/>
    <w:rsid w:val="007546B3"/>
    <w:rsid w:val="00754820"/>
    <w:rsid w:val="007553C8"/>
    <w:rsid w:val="00755A4E"/>
    <w:rsid w:val="00760EEA"/>
    <w:rsid w:val="0076192C"/>
    <w:rsid w:val="007638B6"/>
    <w:rsid w:val="00765329"/>
    <w:rsid w:val="0076537E"/>
    <w:rsid w:val="00771377"/>
    <w:rsid w:val="0077145D"/>
    <w:rsid w:val="007754A7"/>
    <w:rsid w:val="00776D31"/>
    <w:rsid w:val="00781907"/>
    <w:rsid w:val="00781C62"/>
    <w:rsid w:val="00782429"/>
    <w:rsid w:val="0078686A"/>
    <w:rsid w:val="00792142"/>
    <w:rsid w:val="00792A8B"/>
    <w:rsid w:val="00792FD4"/>
    <w:rsid w:val="00795D4D"/>
    <w:rsid w:val="00796D9B"/>
    <w:rsid w:val="00796DBD"/>
    <w:rsid w:val="007970C2"/>
    <w:rsid w:val="007A0E7C"/>
    <w:rsid w:val="007A0F50"/>
    <w:rsid w:val="007A4A90"/>
    <w:rsid w:val="007A4D60"/>
    <w:rsid w:val="007A5193"/>
    <w:rsid w:val="007A69CB"/>
    <w:rsid w:val="007A6A15"/>
    <w:rsid w:val="007A6C48"/>
    <w:rsid w:val="007A7520"/>
    <w:rsid w:val="007B121F"/>
    <w:rsid w:val="007B23BB"/>
    <w:rsid w:val="007B3167"/>
    <w:rsid w:val="007B3BDD"/>
    <w:rsid w:val="007B4FF1"/>
    <w:rsid w:val="007B58A0"/>
    <w:rsid w:val="007B6AE7"/>
    <w:rsid w:val="007B7077"/>
    <w:rsid w:val="007B73C8"/>
    <w:rsid w:val="007B7CFD"/>
    <w:rsid w:val="007B7DCC"/>
    <w:rsid w:val="007C00E0"/>
    <w:rsid w:val="007C0FBF"/>
    <w:rsid w:val="007C10E2"/>
    <w:rsid w:val="007C161C"/>
    <w:rsid w:val="007C1696"/>
    <w:rsid w:val="007C377A"/>
    <w:rsid w:val="007C418C"/>
    <w:rsid w:val="007C5D80"/>
    <w:rsid w:val="007C64D3"/>
    <w:rsid w:val="007D0B3D"/>
    <w:rsid w:val="007D15DF"/>
    <w:rsid w:val="007D1B67"/>
    <w:rsid w:val="007D2E3C"/>
    <w:rsid w:val="007D571F"/>
    <w:rsid w:val="007D580F"/>
    <w:rsid w:val="007D651B"/>
    <w:rsid w:val="007D661C"/>
    <w:rsid w:val="007D674B"/>
    <w:rsid w:val="007D6D08"/>
    <w:rsid w:val="007E1FAC"/>
    <w:rsid w:val="007E23D9"/>
    <w:rsid w:val="007E3CE4"/>
    <w:rsid w:val="007E40CC"/>
    <w:rsid w:val="007E607A"/>
    <w:rsid w:val="007E75A1"/>
    <w:rsid w:val="007F18D9"/>
    <w:rsid w:val="007F235F"/>
    <w:rsid w:val="007F2DBB"/>
    <w:rsid w:val="007F2DF1"/>
    <w:rsid w:val="007F3323"/>
    <w:rsid w:val="007F3DD3"/>
    <w:rsid w:val="007F5CC9"/>
    <w:rsid w:val="007F6326"/>
    <w:rsid w:val="007F7A57"/>
    <w:rsid w:val="008043C8"/>
    <w:rsid w:val="008044B9"/>
    <w:rsid w:val="00805FEE"/>
    <w:rsid w:val="00806C77"/>
    <w:rsid w:val="00812266"/>
    <w:rsid w:val="00814331"/>
    <w:rsid w:val="0081435F"/>
    <w:rsid w:val="008155B9"/>
    <w:rsid w:val="00816452"/>
    <w:rsid w:val="008177B6"/>
    <w:rsid w:val="008204BC"/>
    <w:rsid w:val="00822D75"/>
    <w:rsid w:val="00824660"/>
    <w:rsid w:val="00824BB7"/>
    <w:rsid w:val="00827654"/>
    <w:rsid w:val="0082790C"/>
    <w:rsid w:val="00832CBD"/>
    <w:rsid w:val="00834757"/>
    <w:rsid w:val="0083612E"/>
    <w:rsid w:val="00840901"/>
    <w:rsid w:val="00840970"/>
    <w:rsid w:val="008411B2"/>
    <w:rsid w:val="008411D6"/>
    <w:rsid w:val="008422CB"/>
    <w:rsid w:val="0084288C"/>
    <w:rsid w:val="0084324D"/>
    <w:rsid w:val="008453CA"/>
    <w:rsid w:val="008454B4"/>
    <w:rsid w:val="008470C2"/>
    <w:rsid w:val="00850FF7"/>
    <w:rsid w:val="00851799"/>
    <w:rsid w:val="00852138"/>
    <w:rsid w:val="00853829"/>
    <w:rsid w:val="0085638E"/>
    <w:rsid w:val="0085688E"/>
    <w:rsid w:val="0085770B"/>
    <w:rsid w:val="00857A9F"/>
    <w:rsid w:val="00857D9D"/>
    <w:rsid w:val="008625C2"/>
    <w:rsid w:val="00862698"/>
    <w:rsid w:val="00863046"/>
    <w:rsid w:val="0086404D"/>
    <w:rsid w:val="00865DC1"/>
    <w:rsid w:val="00867988"/>
    <w:rsid w:val="00873584"/>
    <w:rsid w:val="00873B79"/>
    <w:rsid w:val="0087469D"/>
    <w:rsid w:val="00875485"/>
    <w:rsid w:val="008758C3"/>
    <w:rsid w:val="008817E1"/>
    <w:rsid w:val="00881BF7"/>
    <w:rsid w:val="00883D3B"/>
    <w:rsid w:val="00886938"/>
    <w:rsid w:val="008873D3"/>
    <w:rsid w:val="008906DB"/>
    <w:rsid w:val="00891615"/>
    <w:rsid w:val="00893B9A"/>
    <w:rsid w:val="00893E91"/>
    <w:rsid w:val="00895F78"/>
    <w:rsid w:val="00896B3F"/>
    <w:rsid w:val="00897489"/>
    <w:rsid w:val="0089760F"/>
    <w:rsid w:val="008A073E"/>
    <w:rsid w:val="008A22A9"/>
    <w:rsid w:val="008A29D0"/>
    <w:rsid w:val="008A406E"/>
    <w:rsid w:val="008A4941"/>
    <w:rsid w:val="008A60FB"/>
    <w:rsid w:val="008B02B1"/>
    <w:rsid w:val="008B2529"/>
    <w:rsid w:val="008B2818"/>
    <w:rsid w:val="008B465F"/>
    <w:rsid w:val="008B48E5"/>
    <w:rsid w:val="008B4B52"/>
    <w:rsid w:val="008B5E64"/>
    <w:rsid w:val="008B6C04"/>
    <w:rsid w:val="008C0196"/>
    <w:rsid w:val="008C14F1"/>
    <w:rsid w:val="008C1E11"/>
    <w:rsid w:val="008C398D"/>
    <w:rsid w:val="008C3E89"/>
    <w:rsid w:val="008C400B"/>
    <w:rsid w:val="008C640E"/>
    <w:rsid w:val="008D0AB6"/>
    <w:rsid w:val="008D0BFD"/>
    <w:rsid w:val="008D1436"/>
    <w:rsid w:val="008D63AB"/>
    <w:rsid w:val="008D6F86"/>
    <w:rsid w:val="008E33DB"/>
    <w:rsid w:val="008E38D5"/>
    <w:rsid w:val="008E3C1B"/>
    <w:rsid w:val="008E5488"/>
    <w:rsid w:val="008E5F03"/>
    <w:rsid w:val="008E60D2"/>
    <w:rsid w:val="008E628E"/>
    <w:rsid w:val="008E76B6"/>
    <w:rsid w:val="008F124D"/>
    <w:rsid w:val="008F2EE3"/>
    <w:rsid w:val="008F3B0A"/>
    <w:rsid w:val="008F3B73"/>
    <w:rsid w:val="008F58BB"/>
    <w:rsid w:val="008F5BEE"/>
    <w:rsid w:val="008F675D"/>
    <w:rsid w:val="008F6A8D"/>
    <w:rsid w:val="009026CF"/>
    <w:rsid w:val="00903EC9"/>
    <w:rsid w:val="0090475D"/>
    <w:rsid w:val="00905451"/>
    <w:rsid w:val="00905B2F"/>
    <w:rsid w:val="0090673A"/>
    <w:rsid w:val="00907C2D"/>
    <w:rsid w:val="009100D7"/>
    <w:rsid w:val="009107B6"/>
    <w:rsid w:val="00911CDF"/>
    <w:rsid w:val="009127FA"/>
    <w:rsid w:val="009129E5"/>
    <w:rsid w:val="00913D50"/>
    <w:rsid w:val="00915A8F"/>
    <w:rsid w:val="00915D3B"/>
    <w:rsid w:val="00917765"/>
    <w:rsid w:val="0092016C"/>
    <w:rsid w:val="00921120"/>
    <w:rsid w:val="009218FE"/>
    <w:rsid w:val="00921BDD"/>
    <w:rsid w:val="009227EF"/>
    <w:rsid w:val="00922DF3"/>
    <w:rsid w:val="009261F2"/>
    <w:rsid w:val="009265A4"/>
    <w:rsid w:val="00927992"/>
    <w:rsid w:val="009305D9"/>
    <w:rsid w:val="00930675"/>
    <w:rsid w:val="009319E0"/>
    <w:rsid w:val="00931CCE"/>
    <w:rsid w:val="00932814"/>
    <w:rsid w:val="0093343C"/>
    <w:rsid w:val="009334B7"/>
    <w:rsid w:val="00940837"/>
    <w:rsid w:val="00942A43"/>
    <w:rsid w:val="00942F3F"/>
    <w:rsid w:val="0094301B"/>
    <w:rsid w:val="0094377F"/>
    <w:rsid w:val="00943996"/>
    <w:rsid w:val="00945C89"/>
    <w:rsid w:val="00946C52"/>
    <w:rsid w:val="009477A1"/>
    <w:rsid w:val="00947E41"/>
    <w:rsid w:val="00950732"/>
    <w:rsid w:val="0095276C"/>
    <w:rsid w:val="009551A6"/>
    <w:rsid w:val="00955997"/>
    <w:rsid w:val="00960314"/>
    <w:rsid w:val="0096070E"/>
    <w:rsid w:val="00961807"/>
    <w:rsid w:val="00961B86"/>
    <w:rsid w:val="00961EC6"/>
    <w:rsid w:val="009634DE"/>
    <w:rsid w:val="00964A71"/>
    <w:rsid w:val="00966081"/>
    <w:rsid w:val="00966DE6"/>
    <w:rsid w:val="009679E6"/>
    <w:rsid w:val="0097007F"/>
    <w:rsid w:val="00971EA6"/>
    <w:rsid w:val="009722AF"/>
    <w:rsid w:val="0097293F"/>
    <w:rsid w:val="009730F8"/>
    <w:rsid w:val="009739A9"/>
    <w:rsid w:val="00974FE2"/>
    <w:rsid w:val="009751CC"/>
    <w:rsid w:val="00975388"/>
    <w:rsid w:val="00975541"/>
    <w:rsid w:val="00976DE3"/>
    <w:rsid w:val="0097798D"/>
    <w:rsid w:val="0098056B"/>
    <w:rsid w:val="009816BF"/>
    <w:rsid w:val="009821AB"/>
    <w:rsid w:val="00982C38"/>
    <w:rsid w:val="00983126"/>
    <w:rsid w:val="00983E7B"/>
    <w:rsid w:val="00984775"/>
    <w:rsid w:val="00984F68"/>
    <w:rsid w:val="0098690B"/>
    <w:rsid w:val="0099041F"/>
    <w:rsid w:val="00992680"/>
    <w:rsid w:val="009950BE"/>
    <w:rsid w:val="00997D61"/>
    <w:rsid w:val="009A060A"/>
    <w:rsid w:val="009A0AD7"/>
    <w:rsid w:val="009A1152"/>
    <w:rsid w:val="009A19DE"/>
    <w:rsid w:val="009A212E"/>
    <w:rsid w:val="009A4292"/>
    <w:rsid w:val="009A4A01"/>
    <w:rsid w:val="009A5038"/>
    <w:rsid w:val="009A6F30"/>
    <w:rsid w:val="009B0070"/>
    <w:rsid w:val="009B0AD2"/>
    <w:rsid w:val="009B1363"/>
    <w:rsid w:val="009B13D4"/>
    <w:rsid w:val="009B1E8E"/>
    <w:rsid w:val="009B2579"/>
    <w:rsid w:val="009B40D0"/>
    <w:rsid w:val="009B6A25"/>
    <w:rsid w:val="009B7F94"/>
    <w:rsid w:val="009C15BC"/>
    <w:rsid w:val="009C2B18"/>
    <w:rsid w:val="009C2C60"/>
    <w:rsid w:val="009C5551"/>
    <w:rsid w:val="009C5940"/>
    <w:rsid w:val="009C7C77"/>
    <w:rsid w:val="009D168B"/>
    <w:rsid w:val="009D20D3"/>
    <w:rsid w:val="009D25F7"/>
    <w:rsid w:val="009D3AE1"/>
    <w:rsid w:val="009D6750"/>
    <w:rsid w:val="009E07B7"/>
    <w:rsid w:val="009E1E2A"/>
    <w:rsid w:val="009E1FD2"/>
    <w:rsid w:val="009E2242"/>
    <w:rsid w:val="009E5280"/>
    <w:rsid w:val="009E5B6F"/>
    <w:rsid w:val="009E5DE8"/>
    <w:rsid w:val="009E5F75"/>
    <w:rsid w:val="009E7194"/>
    <w:rsid w:val="009E7638"/>
    <w:rsid w:val="009F07FA"/>
    <w:rsid w:val="009F1B76"/>
    <w:rsid w:val="009F1E6F"/>
    <w:rsid w:val="009F6890"/>
    <w:rsid w:val="009F746C"/>
    <w:rsid w:val="009F7D24"/>
    <w:rsid w:val="00A00206"/>
    <w:rsid w:val="00A00BB9"/>
    <w:rsid w:val="00A01439"/>
    <w:rsid w:val="00A01657"/>
    <w:rsid w:val="00A0463B"/>
    <w:rsid w:val="00A04956"/>
    <w:rsid w:val="00A04AB8"/>
    <w:rsid w:val="00A04AD2"/>
    <w:rsid w:val="00A0528C"/>
    <w:rsid w:val="00A05587"/>
    <w:rsid w:val="00A055A6"/>
    <w:rsid w:val="00A07391"/>
    <w:rsid w:val="00A12BC7"/>
    <w:rsid w:val="00A138E6"/>
    <w:rsid w:val="00A14532"/>
    <w:rsid w:val="00A14E7D"/>
    <w:rsid w:val="00A1660E"/>
    <w:rsid w:val="00A16F82"/>
    <w:rsid w:val="00A1700D"/>
    <w:rsid w:val="00A214F5"/>
    <w:rsid w:val="00A221D0"/>
    <w:rsid w:val="00A23797"/>
    <w:rsid w:val="00A239BA"/>
    <w:rsid w:val="00A23E81"/>
    <w:rsid w:val="00A24414"/>
    <w:rsid w:val="00A25793"/>
    <w:rsid w:val="00A25CA9"/>
    <w:rsid w:val="00A26499"/>
    <w:rsid w:val="00A26D94"/>
    <w:rsid w:val="00A315E8"/>
    <w:rsid w:val="00A31A36"/>
    <w:rsid w:val="00A31B71"/>
    <w:rsid w:val="00A32C52"/>
    <w:rsid w:val="00A32D0A"/>
    <w:rsid w:val="00A349DC"/>
    <w:rsid w:val="00A34EBB"/>
    <w:rsid w:val="00A3509C"/>
    <w:rsid w:val="00A409FF"/>
    <w:rsid w:val="00A44324"/>
    <w:rsid w:val="00A44ECF"/>
    <w:rsid w:val="00A451EB"/>
    <w:rsid w:val="00A45624"/>
    <w:rsid w:val="00A479AB"/>
    <w:rsid w:val="00A517AB"/>
    <w:rsid w:val="00A51C55"/>
    <w:rsid w:val="00A529D5"/>
    <w:rsid w:val="00A52FB2"/>
    <w:rsid w:val="00A5307B"/>
    <w:rsid w:val="00A54D45"/>
    <w:rsid w:val="00A55A20"/>
    <w:rsid w:val="00A564B6"/>
    <w:rsid w:val="00A56568"/>
    <w:rsid w:val="00A610F1"/>
    <w:rsid w:val="00A61481"/>
    <w:rsid w:val="00A63957"/>
    <w:rsid w:val="00A66DC8"/>
    <w:rsid w:val="00A72A97"/>
    <w:rsid w:val="00A73199"/>
    <w:rsid w:val="00A74F62"/>
    <w:rsid w:val="00A767AE"/>
    <w:rsid w:val="00A76D46"/>
    <w:rsid w:val="00A8024B"/>
    <w:rsid w:val="00A8239E"/>
    <w:rsid w:val="00A82856"/>
    <w:rsid w:val="00A83FCC"/>
    <w:rsid w:val="00A8440A"/>
    <w:rsid w:val="00A85242"/>
    <w:rsid w:val="00A90DC4"/>
    <w:rsid w:val="00A917DD"/>
    <w:rsid w:val="00A91D46"/>
    <w:rsid w:val="00A92D5E"/>
    <w:rsid w:val="00A9348A"/>
    <w:rsid w:val="00A94705"/>
    <w:rsid w:val="00A94E4F"/>
    <w:rsid w:val="00AA0C86"/>
    <w:rsid w:val="00AA0C9D"/>
    <w:rsid w:val="00AA0DAC"/>
    <w:rsid w:val="00AA23D8"/>
    <w:rsid w:val="00AA2EE8"/>
    <w:rsid w:val="00AA3917"/>
    <w:rsid w:val="00AA6105"/>
    <w:rsid w:val="00AB0491"/>
    <w:rsid w:val="00AB0D26"/>
    <w:rsid w:val="00AB0E2E"/>
    <w:rsid w:val="00AB1892"/>
    <w:rsid w:val="00AB2913"/>
    <w:rsid w:val="00AB2981"/>
    <w:rsid w:val="00AB3D54"/>
    <w:rsid w:val="00AB5625"/>
    <w:rsid w:val="00AB6F29"/>
    <w:rsid w:val="00AC219B"/>
    <w:rsid w:val="00AC32E4"/>
    <w:rsid w:val="00AC41D5"/>
    <w:rsid w:val="00AC5C72"/>
    <w:rsid w:val="00AD140A"/>
    <w:rsid w:val="00AD180B"/>
    <w:rsid w:val="00AD27EF"/>
    <w:rsid w:val="00AD33B6"/>
    <w:rsid w:val="00AD33F5"/>
    <w:rsid w:val="00AD41B8"/>
    <w:rsid w:val="00AD4656"/>
    <w:rsid w:val="00AD5288"/>
    <w:rsid w:val="00AD7552"/>
    <w:rsid w:val="00AD782C"/>
    <w:rsid w:val="00AE056D"/>
    <w:rsid w:val="00AE1719"/>
    <w:rsid w:val="00AE1FB3"/>
    <w:rsid w:val="00AE2072"/>
    <w:rsid w:val="00AE5241"/>
    <w:rsid w:val="00AE5D02"/>
    <w:rsid w:val="00AE5DDE"/>
    <w:rsid w:val="00AE738C"/>
    <w:rsid w:val="00AE7D67"/>
    <w:rsid w:val="00AF34A3"/>
    <w:rsid w:val="00AF7FC0"/>
    <w:rsid w:val="00B0011A"/>
    <w:rsid w:val="00B009B8"/>
    <w:rsid w:val="00B010F0"/>
    <w:rsid w:val="00B01A31"/>
    <w:rsid w:val="00B03F24"/>
    <w:rsid w:val="00B05399"/>
    <w:rsid w:val="00B11117"/>
    <w:rsid w:val="00B120C5"/>
    <w:rsid w:val="00B12385"/>
    <w:rsid w:val="00B12901"/>
    <w:rsid w:val="00B1315C"/>
    <w:rsid w:val="00B144B3"/>
    <w:rsid w:val="00B2226B"/>
    <w:rsid w:val="00B228A3"/>
    <w:rsid w:val="00B23EDC"/>
    <w:rsid w:val="00B2786B"/>
    <w:rsid w:val="00B27CBD"/>
    <w:rsid w:val="00B301CE"/>
    <w:rsid w:val="00B30284"/>
    <w:rsid w:val="00B30765"/>
    <w:rsid w:val="00B31838"/>
    <w:rsid w:val="00B31D9B"/>
    <w:rsid w:val="00B335E7"/>
    <w:rsid w:val="00B34543"/>
    <w:rsid w:val="00B4144A"/>
    <w:rsid w:val="00B458EE"/>
    <w:rsid w:val="00B50F7F"/>
    <w:rsid w:val="00B51719"/>
    <w:rsid w:val="00B51C36"/>
    <w:rsid w:val="00B53771"/>
    <w:rsid w:val="00B55016"/>
    <w:rsid w:val="00B5568F"/>
    <w:rsid w:val="00B6017A"/>
    <w:rsid w:val="00B62200"/>
    <w:rsid w:val="00B64B42"/>
    <w:rsid w:val="00B65F5F"/>
    <w:rsid w:val="00B65F63"/>
    <w:rsid w:val="00B678C3"/>
    <w:rsid w:val="00B72CF6"/>
    <w:rsid w:val="00B754B9"/>
    <w:rsid w:val="00B75B22"/>
    <w:rsid w:val="00B771BB"/>
    <w:rsid w:val="00B81BB5"/>
    <w:rsid w:val="00B81F44"/>
    <w:rsid w:val="00B82DA0"/>
    <w:rsid w:val="00B83501"/>
    <w:rsid w:val="00B83AA3"/>
    <w:rsid w:val="00B83F17"/>
    <w:rsid w:val="00B84767"/>
    <w:rsid w:val="00B9208B"/>
    <w:rsid w:val="00B935B8"/>
    <w:rsid w:val="00B94456"/>
    <w:rsid w:val="00B94C26"/>
    <w:rsid w:val="00B97C06"/>
    <w:rsid w:val="00BA1667"/>
    <w:rsid w:val="00BA24FD"/>
    <w:rsid w:val="00BA2B3F"/>
    <w:rsid w:val="00BA34B9"/>
    <w:rsid w:val="00BA45B1"/>
    <w:rsid w:val="00BA4799"/>
    <w:rsid w:val="00BA4B5B"/>
    <w:rsid w:val="00BB039C"/>
    <w:rsid w:val="00BB0E5D"/>
    <w:rsid w:val="00BB1857"/>
    <w:rsid w:val="00BB4104"/>
    <w:rsid w:val="00BB52E7"/>
    <w:rsid w:val="00BB57E7"/>
    <w:rsid w:val="00BB596D"/>
    <w:rsid w:val="00BB7CB4"/>
    <w:rsid w:val="00BC271C"/>
    <w:rsid w:val="00BC4E8B"/>
    <w:rsid w:val="00BC58B2"/>
    <w:rsid w:val="00BC7728"/>
    <w:rsid w:val="00BC7C42"/>
    <w:rsid w:val="00BD03F2"/>
    <w:rsid w:val="00BD0AC6"/>
    <w:rsid w:val="00BD2064"/>
    <w:rsid w:val="00BD3964"/>
    <w:rsid w:val="00BD4293"/>
    <w:rsid w:val="00BD50B3"/>
    <w:rsid w:val="00BD5724"/>
    <w:rsid w:val="00BE006F"/>
    <w:rsid w:val="00BE03BA"/>
    <w:rsid w:val="00BE4F3B"/>
    <w:rsid w:val="00BE5E05"/>
    <w:rsid w:val="00BE620E"/>
    <w:rsid w:val="00BE633B"/>
    <w:rsid w:val="00BE65BD"/>
    <w:rsid w:val="00BE6BD7"/>
    <w:rsid w:val="00BE7C44"/>
    <w:rsid w:val="00BE7D34"/>
    <w:rsid w:val="00BF0F8E"/>
    <w:rsid w:val="00BF1CF5"/>
    <w:rsid w:val="00BF21E1"/>
    <w:rsid w:val="00BF2D97"/>
    <w:rsid w:val="00BF35B6"/>
    <w:rsid w:val="00BF6FA3"/>
    <w:rsid w:val="00BF738F"/>
    <w:rsid w:val="00BF7D25"/>
    <w:rsid w:val="00C0089A"/>
    <w:rsid w:val="00C00E42"/>
    <w:rsid w:val="00C01DE6"/>
    <w:rsid w:val="00C03500"/>
    <w:rsid w:val="00C047D4"/>
    <w:rsid w:val="00C054BE"/>
    <w:rsid w:val="00C0569F"/>
    <w:rsid w:val="00C109BD"/>
    <w:rsid w:val="00C10FD0"/>
    <w:rsid w:val="00C12A12"/>
    <w:rsid w:val="00C153B9"/>
    <w:rsid w:val="00C15E8E"/>
    <w:rsid w:val="00C16186"/>
    <w:rsid w:val="00C165B5"/>
    <w:rsid w:val="00C16CEC"/>
    <w:rsid w:val="00C16FBA"/>
    <w:rsid w:val="00C17C92"/>
    <w:rsid w:val="00C17D99"/>
    <w:rsid w:val="00C20884"/>
    <w:rsid w:val="00C210CD"/>
    <w:rsid w:val="00C223CE"/>
    <w:rsid w:val="00C2461E"/>
    <w:rsid w:val="00C24FE6"/>
    <w:rsid w:val="00C26002"/>
    <w:rsid w:val="00C264E2"/>
    <w:rsid w:val="00C27381"/>
    <w:rsid w:val="00C2786A"/>
    <w:rsid w:val="00C3135B"/>
    <w:rsid w:val="00C32388"/>
    <w:rsid w:val="00C337D5"/>
    <w:rsid w:val="00C34BE0"/>
    <w:rsid w:val="00C35003"/>
    <w:rsid w:val="00C35F81"/>
    <w:rsid w:val="00C37297"/>
    <w:rsid w:val="00C378D2"/>
    <w:rsid w:val="00C40848"/>
    <w:rsid w:val="00C408C2"/>
    <w:rsid w:val="00C413C3"/>
    <w:rsid w:val="00C42FD7"/>
    <w:rsid w:val="00C4450D"/>
    <w:rsid w:val="00C4483A"/>
    <w:rsid w:val="00C448EF"/>
    <w:rsid w:val="00C45190"/>
    <w:rsid w:val="00C456EE"/>
    <w:rsid w:val="00C475A5"/>
    <w:rsid w:val="00C47F9B"/>
    <w:rsid w:val="00C50A00"/>
    <w:rsid w:val="00C5115B"/>
    <w:rsid w:val="00C51179"/>
    <w:rsid w:val="00C5307B"/>
    <w:rsid w:val="00C54A9E"/>
    <w:rsid w:val="00C54C2D"/>
    <w:rsid w:val="00C559E0"/>
    <w:rsid w:val="00C56F7E"/>
    <w:rsid w:val="00C573C2"/>
    <w:rsid w:val="00C60298"/>
    <w:rsid w:val="00C6097A"/>
    <w:rsid w:val="00C6232C"/>
    <w:rsid w:val="00C63402"/>
    <w:rsid w:val="00C651FA"/>
    <w:rsid w:val="00C66ACB"/>
    <w:rsid w:val="00C670FE"/>
    <w:rsid w:val="00C679C5"/>
    <w:rsid w:val="00C70364"/>
    <w:rsid w:val="00C729BA"/>
    <w:rsid w:val="00C73147"/>
    <w:rsid w:val="00C778BF"/>
    <w:rsid w:val="00C8174B"/>
    <w:rsid w:val="00C82102"/>
    <w:rsid w:val="00C84D84"/>
    <w:rsid w:val="00C85058"/>
    <w:rsid w:val="00C868FE"/>
    <w:rsid w:val="00C86DA1"/>
    <w:rsid w:val="00C8743C"/>
    <w:rsid w:val="00C90BB2"/>
    <w:rsid w:val="00C91754"/>
    <w:rsid w:val="00C91F5D"/>
    <w:rsid w:val="00C93518"/>
    <w:rsid w:val="00C9503A"/>
    <w:rsid w:val="00C962C0"/>
    <w:rsid w:val="00C970F3"/>
    <w:rsid w:val="00C9764B"/>
    <w:rsid w:val="00C97788"/>
    <w:rsid w:val="00CA1142"/>
    <w:rsid w:val="00CA2715"/>
    <w:rsid w:val="00CA50E1"/>
    <w:rsid w:val="00CA5662"/>
    <w:rsid w:val="00CB05A1"/>
    <w:rsid w:val="00CB0F99"/>
    <w:rsid w:val="00CB0FED"/>
    <w:rsid w:val="00CB6EED"/>
    <w:rsid w:val="00CB767D"/>
    <w:rsid w:val="00CC0AD8"/>
    <w:rsid w:val="00CC14F0"/>
    <w:rsid w:val="00CC1B66"/>
    <w:rsid w:val="00CC1F5F"/>
    <w:rsid w:val="00CC2D59"/>
    <w:rsid w:val="00CC3F84"/>
    <w:rsid w:val="00CC408A"/>
    <w:rsid w:val="00CC4E08"/>
    <w:rsid w:val="00CC5D52"/>
    <w:rsid w:val="00CC6DB7"/>
    <w:rsid w:val="00CD0378"/>
    <w:rsid w:val="00CD043F"/>
    <w:rsid w:val="00CD097D"/>
    <w:rsid w:val="00CD1511"/>
    <w:rsid w:val="00CD23A3"/>
    <w:rsid w:val="00CD26A2"/>
    <w:rsid w:val="00CD30EA"/>
    <w:rsid w:val="00CD361E"/>
    <w:rsid w:val="00CD4ABD"/>
    <w:rsid w:val="00CD518D"/>
    <w:rsid w:val="00CD6585"/>
    <w:rsid w:val="00CD66A1"/>
    <w:rsid w:val="00CD6780"/>
    <w:rsid w:val="00CD6C66"/>
    <w:rsid w:val="00CD73B2"/>
    <w:rsid w:val="00CD7425"/>
    <w:rsid w:val="00CD7C52"/>
    <w:rsid w:val="00CE0751"/>
    <w:rsid w:val="00CE104E"/>
    <w:rsid w:val="00CE22F5"/>
    <w:rsid w:val="00CE4BA1"/>
    <w:rsid w:val="00CF1098"/>
    <w:rsid w:val="00CF2714"/>
    <w:rsid w:val="00CF36E4"/>
    <w:rsid w:val="00CF60F7"/>
    <w:rsid w:val="00CF66C2"/>
    <w:rsid w:val="00CF6743"/>
    <w:rsid w:val="00CF69E9"/>
    <w:rsid w:val="00D01B91"/>
    <w:rsid w:val="00D03ED8"/>
    <w:rsid w:val="00D03FFB"/>
    <w:rsid w:val="00D0465B"/>
    <w:rsid w:val="00D04B47"/>
    <w:rsid w:val="00D04CAC"/>
    <w:rsid w:val="00D0506A"/>
    <w:rsid w:val="00D052E1"/>
    <w:rsid w:val="00D059DC"/>
    <w:rsid w:val="00D05BBD"/>
    <w:rsid w:val="00D06857"/>
    <w:rsid w:val="00D07C43"/>
    <w:rsid w:val="00D111C3"/>
    <w:rsid w:val="00D12284"/>
    <w:rsid w:val="00D136AE"/>
    <w:rsid w:val="00D15523"/>
    <w:rsid w:val="00D1621A"/>
    <w:rsid w:val="00D17963"/>
    <w:rsid w:val="00D17C18"/>
    <w:rsid w:val="00D17CA1"/>
    <w:rsid w:val="00D17ED3"/>
    <w:rsid w:val="00D200E5"/>
    <w:rsid w:val="00D20713"/>
    <w:rsid w:val="00D22471"/>
    <w:rsid w:val="00D22C06"/>
    <w:rsid w:val="00D233D9"/>
    <w:rsid w:val="00D24684"/>
    <w:rsid w:val="00D24CDC"/>
    <w:rsid w:val="00D25106"/>
    <w:rsid w:val="00D266FB"/>
    <w:rsid w:val="00D27296"/>
    <w:rsid w:val="00D326D5"/>
    <w:rsid w:val="00D33153"/>
    <w:rsid w:val="00D350ED"/>
    <w:rsid w:val="00D3787E"/>
    <w:rsid w:val="00D413CA"/>
    <w:rsid w:val="00D42678"/>
    <w:rsid w:val="00D43F58"/>
    <w:rsid w:val="00D45AF3"/>
    <w:rsid w:val="00D45B5B"/>
    <w:rsid w:val="00D473E2"/>
    <w:rsid w:val="00D50678"/>
    <w:rsid w:val="00D516AF"/>
    <w:rsid w:val="00D52E52"/>
    <w:rsid w:val="00D55B42"/>
    <w:rsid w:val="00D562D7"/>
    <w:rsid w:val="00D5656A"/>
    <w:rsid w:val="00D5754E"/>
    <w:rsid w:val="00D575F5"/>
    <w:rsid w:val="00D579E3"/>
    <w:rsid w:val="00D57A24"/>
    <w:rsid w:val="00D6058A"/>
    <w:rsid w:val="00D63523"/>
    <w:rsid w:val="00D63E68"/>
    <w:rsid w:val="00D647CB"/>
    <w:rsid w:val="00D64FB5"/>
    <w:rsid w:val="00D66078"/>
    <w:rsid w:val="00D7001C"/>
    <w:rsid w:val="00D708E7"/>
    <w:rsid w:val="00D71E39"/>
    <w:rsid w:val="00D720C3"/>
    <w:rsid w:val="00D72277"/>
    <w:rsid w:val="00D732F1"/>
    <w:rsid w:val="00D74674"/>
    <w:rsid w:val="00D746FE"/>
    <w:rsid w:val="00D76D0E"/>
    <w:rsid w:val="00D76E54"/>
    <w:rsid w:val="00D8015F"/>
    <w:rsid w:val="00D82EBA"/>
    <w:rsid w:val="00D84A83"/>
    <w:rsid w:val="00D84EFB"/>
    <w:rsid w:val="00D856DD"/>
    <w:rsid w:val="00D85D0B"/>
    <w:rsid w:val="00D87DBB"/>
    <w:rsid w:val="00D929F7"/>
    <w:rsid w:val="00D92BB3"/>
    <w:rsid w:val="00D932E0"/>
    <w:rsid w:val="00D943D5"/>
    <w:rsid w:val="00D956A1"/>
    <w:rsid w:val="00D9718F"/>
    <w:rsid w:val="00D97E1E"/>
    <w:rsid w:val="00DA0FD2"/>
    <w:rsid w:val="00DA1AF4"/>
    <w:rsid w:val="00DA2636"/>
    <w:rsid w:val="00DA29FE"/>
    <w:rsid w:val="00DA49D6"/>
    <w:rsid w:val="00DA7F4B"/>
    <w:rsid w:val="00DB0D58"/>
    <w:rsid w:val="00DB2386"/>
    <w:rsid w:val="00DB317A"/>
    <w:rsid w:val="00DB33B4"/>
    <w:rsid w:val="00DB5B6C"/>
    <w:rsid w:val="00DB6218"/>
    <w:rsid w:val="00DC1F17"/>
    <w:rsid w:val="00DC5CBF"/>
    <w:rsid w:val="00DC6C62"/>
    <w:rsid w:val="00DC79FA"/>
    <w:rsid w:val="00DD0F70"/>
    <w:rsid w:val="00DD16A5"/>
    <w:rsid w:val="00DD2EBE"/>
    <w:rsid w:val="00DD6339"/>
    <w:rsid w:val="00DD723C"/>
    <w:rsid w:val="00DE137A"/>
    <w:rsid w:val="00DE5619"/>
    <w:rsid w:val="00DE631F"/>
    <w:rsid w:val="00DE6BD2"/>
    <w:rsid w:val="00DF0599"/>
    <w:rsid w:val="00DF22F8"/>
    <w:rsid w:val="00DF365F"/>
    <w:rsid w:val="00DF3B95"/>
    <w:rsid w:val="00DF5157"/>
    <w:rsid w:val="00DF750D"/>
    <w:rsid w:val="00E009DB"/>
    <w:rsid w:val="00E01E70"/>
    <w:rsid w:val="00E02EB6"/>
    <w:rsid w:val="00E06C9D"/>
    <w:rsid w:val="00E1016F"/>
    <w:rsid w:val="00E11218"/>
    <w:rsid w:val="00E11C68"/>
    <w:rsid w:val="00E13813"/>
    <w:rsid w:val="00E13DDA"/>
    <w:rsid w:val="00E14531"/>
    <w:rsid w:val="00E14A77"/>
    <w:rsid w:val="00E152B5"/>
    <w:rsid w:val="00E1758B"/>
    <w:rsid w:val="00E1778D"/>
    <w:rsid w:val="00E177B9"/>
    <w:rsid w:val="00E20C48"/>
    <w:rsid w:val="00E21BE3"/>
    <w:rsid w:val="00E22F15"/>
    <w:rsid w:val="00E24B7D"/>
    <w:rsid w:val="00E24CAF"/>
    <w:rsid w:val="00E274C4"/>
    <w:rsid w:val="00E30DF7"/>
    <w:rsid w:val="00E31A95"/>
    <w:rsid w:val="00E334D6"/>
    <w:rsid w:val="00E33E95"/>
    <w:rsid w:val="00E34131"/>
    <w:rsid w:val="00E34B2C"/>
    <w:rsid w:val="00E410D1"/>
    <w:rsid w:val="00E41710"/>
    <w:rsid w:val="00E43233"/>
    <w:rsid w:val="00E4387A"/>
    <w:rsid w:val="00E458EF"/>
    <w:rsid w:val="00E46B47"/>
    <w:rsid w:val="00E47A47"/>
    <w:rsid w:val="00E50B4A"/>
    <w:rsid w:val="00E50DB4"/>
    <w:rsid w:val="00E5107F"/>
    <w:rsid w:val="00E51829"/>
    <w:rsid w:val="00E518B1"/>
    <w:rsid w:val="00E530C2"/>
    <w:rsid w:val="00E53C2E"/>
    <w:rsid w:val="00E56623"/>
    <w:rsid w:val="00E57E19"/>
    <w:rsid w:val="00E608E7"/>
    <w:rsid w:val="00E616FE"/>
    <w:rsid w:val="00E618DC"/>
    <w:rsid w:val="00E61C1C"/>
    <w:rsid w:val="00E624BC"/>
    <w:rsid w:val="00E62AD3"/>
    <w:rsid w:val="00E65C2C"/>
    <w:rsid w:val="00E65D59"/>
    <w:rsid w:val="00E6631C"/>
    <w:rsid w:val="00E72EF0"/>
    <w:rsid w:val="00E75996"/>
    <w:rsid w:val="00E75DD4"/>
    <w:rsid w:val="00E77201"/>
    <w:rsid w:val="00E80691"/>
    <w:rsid w:val="00E816F5"/>
    <w:rsid w:val="00E8203E"/>
    <w:rsid w:val="00E82658"/>
    <w:rsid w:val="00E832E5"/>
    <w:rsid w:val="00E835EA"/>
    <w:rsid w:val="00E861F5"/>
    <w:rsid w:val="00E86FE5"/>
    <w:rsid w:val="00E916E9"/>
    <w:rsid w:val="00E92B38"/>
    <w:rsid w:val="00E93167"/>
    <w:rsid w:val="00E93D01"/>
    <w:rsid w:val="00E95CDB"/>
    <w:rsid w:val="00E960DA"/>
    <w:rsid w:val="00EA2000"/>
    <w:rsid w:val="00EA2BE1"/>
    <w:rsid w:val="00EA3790"/>
    <w:rsid w:val="00EA4EED"/>
    <w:rsid w:val="00EA5954"/>
    <w:rsid w:val="00EA67FA"/>
    <w:rsid w:val="00EB087E"/>
    <w:rsid w:val="00EB123D"/>
    <w:rsid w:val="00EB19A7"/>
    <w:rsid w:val="00EB295D"/>
    <w:rsid w:val="00EB33A9"/>
    <w:rsid w:val="00EB4A95"/>
    <w:rsid w:val="00EB4D36"/>
    <w:rsid w:val="00EB4D73"/>
    <w:rsid w:val="00EB5E6B"/>
    <w:rsid w:val="00EB7703"/>
    <w:rsid w:val="00EB77C4"/>
    <w:rsid w:val="00EC3008"/>
    <w:rsid w:val="00EC35ED"/>
    <w:rsid w:val="00EC3B49"/>
    <w:rsid w:val="00EC54BB"/>
    <w:rsid w:val="00EC5AE7"/>
    <w:rsid w:val="00EC5CE0"/>
    <w:rsid w:val="00EC7597"/>
    <w:rsid w:val="00ED66B0"/>
    <w:rsid w:val="00ED6836"/>
    <w:rsid w:val="00ED72FA"/>
    <w:rsid w:val="00EE0208"/>
    <w:rsid w:val="00EE036E"/>
    <w:rsid w:val="00EE228B"/>
    <w:rsid w:val="00EE28C9"/>
    <w:rsid w:val="00EE371D"/>
    <w:rsid w:val="00EE3767"/>
    <w:rsid w:val="00EE41B1"/>
    <w:rsid w:val="00EE46AD"/>
    <w:rsid w:val="00EE582F"/>
    <w:rsid w:val="00EE6BDD"/>
    <w:rsid w:val="00EF0B29"/>
    <w:rsid w:val="00EF2D2F"/>
    <w:rsid w:val="00EF3BD8"/>
    <w:rsid w:val="00EF3C2C"/>
    <w:rsid w:val="00EF5D29"/>
    <w:rsid w:val="00F014AA"/>
    <w:rsid w:val="00F02966"/>
    <w:rsid w:val="00F03BB8"/>
    <w:rsid w:val="00F044AB"/>
    <w:rsid w:val="00F07B28"/>
    <w:rsid w:val="00F1093D"/>
    <w:rsid w:val="00F11FF7"/>
    <w:rsid w:val="00F125F6"/>
    <w:rsid w:val="00F13E00"/>
    <w:rsid w:val="00F152FD"/>
    <w:rsid w:val="00F172A6"/>
    <w:rsid w:val="00F1779D"/>
    <w:rsid w:val="00F20381"/>
    <w:rsid w:val="00F20A67"/>
    <w:rsid w:val="00F22329"/>
    <w:rsid w:val="00F2475D"/>
    <w:rsid w:val="00F30F52"/>
    <w:rsid w:val="00F3116F"/>
    <w:rsid w:val="00F31DBF"/>
    <w:rsid w:val="00F31E19"/>
    <w:rsid w:val="00F33687"/>
    <w:rsid w:val="00F3493E"/>
    <w:rsid w:val="00F36AC5"/>
    <w:rsid w:val="00F37BB3"/>
    <w:rsid w:val="00F4172D"/>
    <w:rsid w:val="00F41E0C"/>
    <w:rsid w:val="00F424D1"/>
    <w:rsid w:val="00F429DC"/>
    <w:rsid w:val="00F44DC8"/>
    <w:rsid w:val="00F45709"/>
    <w:rsid w:val="00F4591F"/>
    <w:rsid w:val="00F45FDC"/>
    <w:rsid w:val="00F46DB1"/>
    <w:rsid w:val="00F4798D"/>
    <w:rsid w:val="00F47B3F"/>
    <w:rsid w:val="00F52B8E"/>
    <w:rsid w:val="00F53DA0"/>
    <w:rsid w:val="00F55551"/>
    <w:rsid w:val="00F57754"/>
    <w:rsid w:val="00F5791B"/>
    <w:rsid w:val="00F57988"/>
    <w:rsid w:val="00F57CB7"/>
    <w:rsid w:val="00F604DC"/>
    <w:rsid w:val="00F60C92"/>
    <w:rsid w:val="00F6177D"/>
    <w:rsid w:val="00F63008"/>
    <w:rsid w:val="00F6422F"/>
    <w:rsid w:val="00F64F5F"/>
    <w:rsid w:val="00F655B3"/>
    <w:rsid w:val="00F65F89"/>
    <w:rsid w:val="00F66C5B"/>
    <w:rsid w:val="00F678C5"/>
    <w:rsid w:val="00F71B30"/>
    <w:rsid w:val="00F71C6A"/>
    <w:rsid w:val="00F7240B"/>
    <w:rsid w:val="00F72AB7"/>
    <w:rsid w:val="00F73F9E"/>
    <w:rsid w:val="00F752C3"/>
    <w:rsid w:val="00F75BE4"/>
    <w:rsid w:val="00F7607D"/>
    <w:rsid w:val="00F7617B"/>
    <w:rsid w:val="00F77CEE"/>
    <w:rsid w:val="00F80184"/>
    <w:rsid w:val="00F8163E"/>
    <w:rsid w:val="00F826BD"/>
    <w:rsid w:val="00F83973"/>
    <w:rsid w:val="00F83FD7"/>
    <w:rsid w:val="00F861EA"/>
    <w:rsid w:val="00F875F9"/>
    <w:rsid w:val="00F87FAA"/>
    <w:rsid w:val="00F905E9"/>
    <w:rsid w:val="00F90D8D"/>
    <w:rsid w:val="00F9209D"/>
    <w:rsid w:val="00F938B6"/>
    <w:rsid w:val="00F9421E"/>
    <w:rsid w:val="00F96DDF"/>
    <w:rsid w:val="00F97901"/>
    <w:rsid w:val="00FA0D02"/>
    <w:rsid w:val="00FA0F99"/>
    <w:rsid w:val="00FA2A8E"/>
    <w:rsid w:val="00FA3CA0"/>
    <w:rsid w:val="00FA4070"/>
    <w:rsid w:val="00FA64DD"/>
    <w:rsid w:val="00FA6A6A"/>
    <w:rsid w:val="00FB0873"/>
    <w:rsid w:val="00FB1529"/>
    <w:rsid w:val="00FB22DF"/>
    <w:rsid w:val="00FB2905"/>
    <w:rsid w:val="00FB2B3A"/>
    <w:rsid w:val="00FB45F1"/>
    <w:rsid w:val="00FB5491"/>
    <w:rsid w:val="00FB59DE"/>
    <w:rsid w:val="00FB632F"/>
    <w:rsid w:val="00FC01EA"/>
    <w:rsid w:val="00FC31DF"/>
    <w:rsid w:val="00FC5DA5"/>
    <w:rsid w:val="00FC69A8"/>
    <w:rsid w:val="00FD12C9"/>
    <w:rsid w:val="00FD3244"/>
    <w:rsid w:val="00FD4EF9"/>
    <w:rsid w:val="00FD68DD"/>
    <w:rsid w:val="00FE050B"/>
    <w:rsid w:val="00FE07C1"/>
    <w:rsid w:val="00FE31A0"/>
    <w:rsid w:val="00FE5EEE"/>
    <w:rsid w:val="00FE616B"/>
    <w:rsid w:val="00FF099F"/>
    <w:rsid w:val="00FF0D87"/>
    <w:rsid w:val="00FF1905"/>
    <w:rsid w:val="00FF1DDC"/>
    <w:rsid w:val="00FF257A"/>
    <w:rsid w:val="00FF307F"/>
    <w:rsid w:val="00FF4011"/>
    <w:rsid w:val="00FF4505"/>
    <w:rsid w:val="00FF55BF"/>
    <w:rsid w:val="01893391"/>
    <w:rsid w:val="02582765"/>
    <w:rsid w:val="033B65BD"/>
    <w:rsid w:val="0DE15E48"/>
    <w:rsid w:val="0FDE6D14"/>
    <w:rsid w:val="104A76C8"/>
    <w:rsid w:val="10FD29EF"/>
    <w:rsid w:val="127E7668"/>
    <w:rsid w:val="1392538B"/>
    <w:rsid w:val="14D27C76"/>
    <w:rsid w:val="15C33BC1"/>
    <w:rsid w:val="16C759ED"/>
    <w:rsid w:val="16E40BB1"/>
    <w:rsid w:val="17CA5913"/>
    <w:rsid w:val="19464B08"/>
    <w:rsid w:val="1A0B22C7"/>
    <w:rsid w:val="1E6905F2"/>
    <w:rsid w:val="20916877"/>
    <w:rsid w:val="230F0C7E"/>
    <w:rsid w:val="2499461A"/>
    <w:rsid w:val="25B427E8"/>
    <w:rsid w:val="27921D79"/>
    <w:rsid w:val="27BC6441"/>
    <w:rsid w:val="28813C00"/>
    <w:rsid w:val="2DBF2DC6"/>
    <w:rsid w:val="2DC25DA1"/>
    <w:rsid w:val="2E887705"/>
    <w:rsid w:val="2EAA3E8E"/>
    <w:rsid w:val="2EAC5BEC"/>
    <w:rsid w:val="2F560B94"/>
    <w:rsid w:val="30226805"/>
    <w:rsid w:val="308C321F"/>
    <w:rsid w:val="348B2EC1"/>
    <w:rsid w:val="3507180A"/>
    <w:rsid w:val="40333762"/>
    <w:rsid w:val="440F4D37"/>
    <w:rsid w:val="44713757"/>
    <w:rsid w:val="45C2437E"/>
    <w:rsid w:val="47691236"/>
    <w:rsid w:val="4E684632"/>
    <w:rsid w:val="4EDE7AF4"/>
    <w:rsid w:val="4F760F6C"/>
    <w:rsid w:val="502D1059"/>
    <w:rsid w:val="50911F93"/>
    <w:rsid w:val="509129BD"/>
    <w:rsid w:val="50E833CC"/>
    <w:rsid w:val="53203E9F"/>
    <w:rsid w:val="594B6810"/>
    <w:rsid w:val="5A9214FD"/>
    <w:rsid w:val="5AB4435C"/>
    <w:rsid w:val="5B983993"/>
    <w:rsid w:val="5BB86188"/>
    <w:rsid w:val="5D3D042C"/>
    <w:rsid w:val="5F4027B9"/>
    <w:rsid w:val="62556F61"/>
    <w:rsid w:val="636F0D32"/>
    <w:rsid w:val="685F2F81"/>
    <w:rsid w:val="68702FE3"/>
    <w:rsid w:val="69A032BD"/>
    <w:rsid w:val="6A02377A"/>
    <w:rsid w:val="6D0257B5"/>
    <w:rsid w:val="7012146B"/>
    <w:rsid w:val="70D46FAB"/>
    <w:rsid w:val="710032F2"/>
    <w:rsid w:val="71167A14"/>
    <w:rsid w:val="71B66130"/>
    <w:rsid w:val="71D23E76"/>
    <w:rsid w:val="732032ED"/>
    <w:rsid w:val="73763CFB"/>
    <w:rsid w:val="7AC15EF1"/>
    <w:rsid w:val="7D8C7689"/>
    <w:rsid w:val="7ED21F1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Straight Connector 7"/>
        <o:r id="V:Rule2" type="connector" idref="#Straight Connector 1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3"/>
    <w:unhideWhenUsed/>
    <w:qFormat/>
    <w:uiPriority w:val="9"/>
    <w:pPr>
      <w:outlineLvl w:val="1"/>
    </w:pPr>
  </w:style>
  <w:style w:type="paragraph" w:styleId="4">
    <w:name w:val="heading 3"/>
    <w:basedOn w:val="3"/>
    <w:next w:val="3"/>
    <w:link w:val="12"/>
    <w:qFormat/>
    <w:uiPriority w:val="99"/>
    <w:pPr>
      <w:widowControl/>
      <w:outlineLvl w:val="2"/>
    </w:pPr>
    <w:rPr>
      <w:rFonts w:hAnsi="宋体" w:cs="宋体"/>
      <w:b/>
      <w:bCs/>
      <w:szCs w:val="24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Calibri" w:eastAsia="宋体" w:cs="Times New Roman"/>
      <w:color w:val="000000"/>
      <w:sz w:val="24"/>
      <w:lang w:val="en-US" w:eastAsia="zh-CN" w:bidi="ar-SA"/>
    </w:rPr>
  </w:style>
  <w:style w:type="paragraph" w:styleId="5">
    <w:name w:val="Plain Text"/>
    <w:basedOn w:val="1"/>
    <w:unhideWhenUsed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7">
    <w:name w:val="footer"/>
    <w:basedOn w:val="1"/>
    <w:unhideWhenUsed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8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basedOn w:val="9"/>
    <w:link w:val="4"/>
    <w:qFormat/>
    <w:uiPriority w:val="99"/>
    <w:rPr>
      <w:rFonts w:ascii="宋体" w:hAnsi="宋体" w:cs="宋体"/>
      <w:b/>
      <w:bCs/>
      <w:color w:val="000000"/>
      <w:sz w:val="24"/>
      <w:szCs w:val="24"/>
    </w:rPr>
  </w:style>
  <w:style w:type="paragraph" w:customStyle="1" w:styleId="13">
    <w:name w:val="文献分类号"/>
    <w:qFormat/>
    <w:uiPriority w:val="0"/>
    <w:pPr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4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5">
    <w:name w:val="封面标准号2"/>
    <w:qFormat/>
    <w:uiPriority w:val="0"/>
    <w:pPr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16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7">
    <w:name w:val="实施日期"/>
    <w:basedOn w:val="16"/>
    <w:qFormat/>
    <w:uiPriority w:val="0"/>
    <w:pPr>
      <w:framePr w:wrap="around" w:vAnchor="page" w:hAnchor="text" w:y="1"/>
      <w:jc w:val="right"/>
    </w:pPr>
  </w:style>
  <w:style w:type="paragraph" w:customStyle="1" w:styleId="18">
    <w:name w:val="目次、标准名称标题"/>
    <w:basedOn w:val="1"/>
    <w:next w:val="19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21">
    <w:name w:val="p16"/>
    <w:basedOn w:val="1"/>
    <w:qFormat/>
    <w:uiPriority w:val="0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22">
    <w:name w:val="章标题"/>
    <w:next w:val="19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">
    <w:name w:val="p15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25">
    <w:name w:val="Normal+2"/>
    <w:basedOn w:val="3"/>
    <w:next w:val="3"/>
    <w:unhideWhenUsed/>
    <w:qFormat/>
    <w:uiPriority w:val="99"/>
  </w:style>
  <w:style w:type="character" w:customStyle="1" w:styleId="26">
    <w:name w:val="批注框文本 Char"/>
    <w:basedOn w:val="9"/>
    <w:link w:val="6"/>
    <w:semiHidden/>
    <w:qFormat/>
    <w:uiPriority w:val="99"/>
    <w:rPr>
      <w:sz w:val="18"/>
      <w:szCs w:val="18"/>
    </w:rPr>
  </w:style>
  <w:style w:type="paragraph" w:customStyle="1" w:styleId="27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4.wmf"/><Relationship Id="rId26" Type="http://schemas.openxmlformats.org/officeDocument/2006/relationships/oleObject" Target="embeddings/oleObject3.bin"/><Relationship Id="rId25" Type="http://schemas.openxmlformats.org/officeDocument/2006/relationships/image" Target="media/image3.wmf"/><Relationship Id="rId24" Type="http://schemas.openxmlformats.org/officeDocument/2006/relationships/oleObject" Target="embeddings/oleObject2.bin"/><Relationship Id="rId23" Type="http://schemas.openxmlformats.org/officeDocument/2006/relationships/image" Target="media/image2.wmf"/><Relationship Id="rId22" Type="http://schemas.openxmlformats.org/officeDocument/2006/relationships/oleObject" Target="embeddings/oleObject1.bin"/><Relationship Id="rId21" Type="http://schemas.openxmlformats.org/officeDocument/2006/relationships/image" Target="media/image1.png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0.xml"/><Relationship Id="rId18" Type="http://schemas.openxmlformats.org/officeDocument/2006/relationships/footer" Target="footer9.xml"/><Relationship Id="rId17" Type="http://schemas.openxmlformats.org/officeDocument/2006/relationships/header" Target="header7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header" Target="header6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 textRotate="1"/>
    <customShpInfo spid="_x0000_s2050" textRotate="1"/>
    <customShpInfo spid="_x0000_s2051" textRotate="1"/>
    <customShpInfo spid="_x0000_s2052" textRotate="1"/>
    <customShpInfo spid="_x0000_s2057" textRotate="1"/>
    <customShpInfo spid="_x0000_s2058" textRotate="1"/>
    <customShpInfo spid="_x0000_s2059" textRotate="1"/>
    <customShpInfo spid="_x0000_s2060" textRotate="1"/>
    <customShpInfo spid="_x0000_s1026"/>
    <customShpInfo spid="_x0000_s1027"/>
    <customShpInfo spid="_x0000_s1030"/>
    <customShpInfo spid="_x0000_s1031"/>
    <customShpInfo spid="_x0000_s1032"/>
    <customShpInfo spid="_x0000_s1028"/>
    <customShpInfo spid="_x0000_s1029"/>
    <customShpInfo spid="_x0000_s1033"/>
    <customShpInfo spid="_x0000_s1034"/>
    <customShpInfo spid="_x0000_s1035"/>
    <customShpInfo spid="_x0000_s1036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982</Words>
  <Characters>5603</Characters>
  <Lines>46</Lines>
  <Paragraphs>13</Paragraphs>
  <ScaleCrop>false</ScaleCrop>
  <LinksUpToDate>false</LinksUpToDate>
  <CharactersWithSpaces>6572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2015-06-23T03:08:00Z</dcterms:created>
  <dc:creator>微软用户</dc:creator>
  <cp:lastModifiedBy>A</cp:lastModifiedBy>
  <dcterms:modified xsi:type="dcterms:W3CDTF">2016-05-13T02:58:09Z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