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05" w:rsidRPr="00121622" w:rsidRDefault="00057F05" w:rsidP="00160616">
      <w:pPr>
        <w:spacing w:beforeLines="50" w:afterLines="50" w:line="360" w:lineRule="auto"/>
        <w:jc w:val="center"/>
        <w:rPr>
          <w:rFonts w:asciiTheme="majorEastAsia" w:eastAsiaTheme="majorEastAsia" w:hAnsiTheme="majorEastAsia"/>
          <w:b/>
          <w:sz w:val="24"/>
        </w:rPr>
      </w:pPr>
      <w:proofErr w:type="spellStart"/>
      <w:r w:rsidRPr="00121622">
        <w:rPr>
          <w:rFonts w:asciiTheme="majorEastAsia" w:eastAsiaTheme="majorEastAsia" w:hAnsiTheme="majorEastAsia" w:hint="eastAsia"/>
          <w:b/>
          <w:sz w:val="24"/>
        </w:rPr>
        <w:t>FeAl</w:t>
      </w:r>
      <w:proofErr w:type="spellEnd"/>
      <w:r w:rsidRPr="00121622">
        <w:rPr>
          <w:rFonts w:asciiTheme="majorEastAsia" w:eastAsiaTheme="majorEastAsia" w:hAnsiTheme="majorEastAsia" w:hint="eastAsia"/>
          <w:b/>
          <w:sz w:val="24"/>
        </w:rPr>
        <w:t>金属间化合物烧结多孔材料过滤元件编制说明书</w:t>
      </w:r>
    </w:p>
    <w:p w:rsidR="00057F05" w:rsidRPr="00121622" w:rsidRDefault="00057F05" w:rsidP="00160616">
      <w:pPr>
        <w:spacing w:beforeLines="50" w:afterLines="50" w:line="360" w:lineRule="auto"/>
        <w:rPr>
          <w:rFonts w:asciiTheme="majorEastAsia" w:eastAsiaTheme="majorEastAsia" w:hAnsiTheme="majorEastAsia"/>
          <w:b/>
          <w:sz w:val="24"/>
        </w:rPr>
      </w:pPr>
      <w:r w:rsidRPr="00121622">
        <w:rPr>
          <w:rFonts w:asciiTheme="majorEastAsia" w:eastAsiaTheme="majorEastAsia" w:hAnsiTheme="majorEastAsia" w:hint="eastAsia"/>
          <w:b/>
          <w:sz w:val="24"/>
        </w:rPr>
        <w:t>1 任务由来及说明</w:t>
      </w:r>
    </w:p>
    <w:p w:rsidR="00732A47" w:rsidRPr="00121622" w:rsidRDefault="00057F05" w:rsidP="00160616">
      <w:pPr>
        <w:spacing w:beforeLines="50" w:afterLines="50"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121622">
        <w:rPr>
          <w:rFonts w:asciiTheme="majorEastAsia" w:eastAsiaTheme="majorEastAsia" w:hAnsiTheme="majorEastAsia" w:hint="eastAsia"/>
          <w:sz w:val="24"/>
        </w:rPr>
        <w:t>近年来，大气污染日益严重，空气环境质量日益恶化；因此，本单位提出了将环保理念前置到工业前沿过程中，</w:t>
      </w:r>
      <w:r w:rsidR="00732A47" w:rsidRPr="00121622">
        <w:rPr>
          <w:rFonts w:asciiTheme="majorEastAsia" w:eastAsiaTheme="majorEastAsia" w:hAnsiTheme="majorEastAsia" w:hint="eastAsia"/>
          <w:sz w:val="24"/>
        </w:rPr>
        <w:t>本单位自主研发的</w:t>
      </w:r>
      <w:proofErr w:type="spellStart"/>
      <w:r w:rsidR="00732A47" w:rsidRPr="00121622">
        <w:rPr>
          <w:rFonts w:asciiTheme="majorEastAsia" w:eastAsiaTheme="majorEastAsia" w:hAnsiTheme="majorEastAsia" w:hint="eastAsia"/>
          <w:sz w:val="24"/>
        </w:rPr>
        <w:t>FeAl</w:t>
      </w:r>
      <w:proofErr w:type="spellEnd"/>
      <w:r w:rsidR="00732A47" w:rsidRPr="00121622">
        <w:rPr>
          <w:rFonts w:asciiTheme="majorEastAsia" w:eastAsiaTheme="majorEastAsia" w:hAnsiTheme="majorEastAsia" w:hint="eastAsia"/>
          <w:sz w:val="24"/>
        </w:rPr>
        <w:t>金属间化合物烧结多孔材料作为一种新型的高温气体除尘过滤材料，综合金属和陶瓷多孔材料的性能优点，经过本单位历年的不断研发、完善，已广泛应用于高温气体过滤领域，适用于铁合金、煤化工、煤制油、钢铁行业、火法电厂等行业高温苛刻环境的长期稳定过滤，保证了客户生产体系正常运行，提升了生产效率；实现了贵重金属回收、产品提纯及副产品利用，并有利于解决大气污染PM2.5问题。</w:t>
      </w:r>
    </w:p>
    <w:p w:rsidR="00B238DC" w:rsidRPr="00121622" w:rsidRDefault="00B238DC" w:rsidP="00160616">
      <w:pPr>
        <w:spacing w:beforeLines="50" w:afterLines="50" w:line="360" w:lineRule="auto"/>
        <w:rPr>
          <w:rFonts w:asciiTheme="majorEastAsia" w:eastAsiaTheme="majorEastAsia" w:hAnsiTheme="majorEastAsia"/>
          <w:b/>
          <w:sz w:val="24"/>
        </w:rPr>
      </w:pPr>
      <w:r w:rsidRPr="00121622">
        <w:rPr>
          <w:rFonts w:asciiTheme="majorEastAsia" w:eastAsiaTheme="majorEastAsia" w:hAnsiTheme="majorEastAsia" w:hint="eastAsia"/>
          <w:b/>
          <w:sz w:val="24"/>
        </w:rPr>
        <w:t>2 标准制定的目的和意义</w:t>
      </w:r>
    </w:p>
    <w:p w:rsidR="00B238DC" w:rsidRPr="00121622" w:rsidRDefault="00732A47" w:rsidP="00160616">
      <w:pPr>
        <w:spacing w:beforeLines="50" w:afterLines="50"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121622">
        <w:rPr>
          <w:rFonts w:asciiTheme="majorEastAsia" w:eastAsiaTheme="majorEastAsia" w:hAnsiTheme="majorEastAsia" w:hint="eastAsia"/>
          <w:sz w:val="24"/>
        </w:rPr>
        <w:t>为了将</w:t>
      </w:r>
      <w:proofErr w:type="spellStart"/>
      <w:r w:rsidRPr="00121622">
        <w:rPr>
          <w:rFonts w:asciiTheme="majorEastAsia" w:eastAsiaTheme="majorEastAsia" w:hAnsiTheme="majorEastAsia" w:hint="eastAsia"/>
          <w:sz w:val="24"/>
        </w:rPr>
        <w:t>Fe</w:t>
      </w:r>
      <w:r w:rsidRPr="00121622">
        <w:rPr>
          <w:rFonts w:asciiTheme="majorEastAsia" w:eastAsiaTheme="majorEastAsia" w:hAnsiTheme="majorEastAsia"/>
          <w:sz w:val="24"/>
        </w:rPr>
        <w:t>Al</w:t>
      </w:r>
      <w:proofErr w:type="spellEnd"/>
      <w:r w:rsidRPr="00121622">
        <w:rPr>
          <w:rFonts w:asciiTheme="majorEastAsia" w:eastAsiaTheme="majorEastAsia" w:hAnsiTheme="majorEastAsia"/>
          <w:sz w:val="24"/>
        </w:rPr>
        <w:t>金属间化合物烧结多孔材料管状过滤元件</w:t>
      </w:r>
      <w:r w:rsidRPr="00121622">
        <w:rPr>
          <w:rFonts w:asciiTheme="majorEastAsia" w:eastAsiaTheme="majorEastAsia" w:hAnsiTheme="majorEastAsia" w:hint="eastAsia"/>
          <w:sz w:val="24"/>
        </w:rPr>
        <w:t>应用于高温苛刻环境的长期稳定过滤，保证客户生产体系正常运行，提升生产效率，实现技术的广泛传播及改善环境，需要规范该产品的结构尺寸、技术性能要求、相关检验方法，使产品在使用过程中具有通用性、互换性，实现污染环境治理，解决环境污染问题。但目前由于我国具有自主知识产权的</w:t>
      </w:r>
      <w:proofErr w:type="spellStart"/>
      <w:r w:rsidRPr="00121622">
        <w:rPr>
          <w:rFonts w:asciiTheme="majorEastAsia" w:eastAsiaTheme="majorEastAsia" w:hAnsiTheme="majorEastAsia" w:hint="eastAsia"/>
          <w:sz w:val="24"/>
        </w:rPr>
        <w:t>FeAl</w:t>
      </w:r>
      <w:proofErr w:type="spellEnd"/>
      <w:r w:rsidRPr="00121622">
        <w:rPr>
          <w:rFonts w:asciiTheme="majorEastAsia" w:eastAsiaTheme="majorEastAsia" w:hAnsiTheme="majorEastAsia" w:hint="eastAsia"/>
          <w:sz w:val="24"/>
        </w:rPr>
        <w:t>金属间化合物烧结多孔材料过滤元件是一种新型高温气体过滤产品，没有相关标准，存在产品规格、型号不统一，产品互换性差；产品性能、质量指标、产品的使用工况不清晰，用户无选型依据；无产品相关的检验、储存、包装、运输及维护等方法；给用户使用和政府主管部门的管理带来不便，因此有必要对</w:t>
      </w:r>
      <w:r w:rsidRPr="00121622">
        <w:rPr>
          <w:rFonts w:asciiTheme="majorEastAsia" w:eastAsiaTheme="majorEastAsia" w:hAnsiTheme="majorEastAsia" w:hint="eastAsia"/>
          <w:kern w:val="0"/>
          <w:sz w:val="24"/>
          <w:lang w:bidi="en-US"/>
        </w:rPr>
        <w:t>我国自主研发的新型</w:t>
      </w:r>
      <w:proofErr w:type="spellStart"/>
      <w:r w:rsidRPr="00121622">
        <w:rPr>
          <w:rFonts w:asciiTheme="majorEastAsia" w:eastAsiaTheme="majorEastAsia" w:hAnsiTheme="majorEastAsia" w:hint="eastAsia"/>
          <w:sz w:val="24"/>
        </w:rPr>
        <w:t>Fe</w:t>
      </w:r>
      <w:r w:rsidRPr="00121622">
        <w:rPr>
          <w:rFonts w:asciiTheme="majorEastAsia" w:eastAsiaTheme="majorEastAsia" w:hAnsiTheme="majorEastAsia"/>
          <w:sz w:val="24"/>
        </w:rPr>
        <w:t>Al</w:t>
      </w:r>
      <w:proofErr w:type="spellEnd"/>
      <w:r w:rsidRPr="00121622">
        <w:rPr>
          <w:rFonts w:asciiTheme="majorEastAsia" w:eastAsiaTheme="majorEastAsia" w:hAnsiTheme="majorEastAsia"/>
          <w:sz w:val="24"/>
        </w:rPr>
        <w:t>金属间化合物烧结多孔材料管状过滤元件</w:t>
      </w:r>
      <w:r w:rsidRPr="00121622">
        <w:rPr>
          <w:rFonts w:asciiTheme="majorEastAsia" w:eastAsiaTheme="majorEastAsia" w:hAnsiTheme="majorEastAsia" w:hint="eastAsia"/>
          <w:sz w:val="24"/>
        </w:rPr>
        <w:t>进行标准化。</w:t>
      </w:r>
    </w:p>
    <w:p w:rsidR="00732A47" w:rsidRPr="00121622" w:rsidRDefault="00732A47" w:rsidP="00160616">
      <w:pPr>
        <w:spacing w:beforeLines="50" w:afterLines="50" w:line="360" w:lineRule="auto"/>
        <w:rPr>
          <w:rFonts w:asciiTheme="majorEastAsia" w:eastAsiaTheme="majorEastAsia" w:hAnsiTheme="majorEastAsia"/>
          <w:b/>
          <w:sz w:val="24"/>
        </w:rPr>
      </w:pPr>
      <w:r w:rsidRPr="00121622">
        <w:rPr>
          <w:rFonts w:asciiTheme="majorEastAsia" w:eastAsiaTheme="majorEastAsia" w:hAnsiTheme="majorEastAsia" w:hint="eastAsia"/>
          <w:b/>
          <w:sz w:val="24"/>
        </w:rPr>
        <w:t>3编制过程</w:t>
      </w:r>
    </w:p>
    <w:p w:rsidR="00732A47" w:rsidRPr="00121622" w:rsidRDefault="00732A47" w:rsidP="00160616">
      <w:pPr>
        <w:spacing w:beforeLines="50" w:afterLines="50" w:line="360" w:lineRule="auto"/>
        <w:ind w:firstLineChars="200" w:firstLine="496"/>
        <w:rPr>
          <w:color w:val="000000"/>
          <w:spacing w:val="4"/>
          <w:sz w:val="24"/>
        </w:rPr>
      </w:pPr>
      <w:r w:rsidRPr="00121622">
        <w:rPr>
          <w:rFonts w:hint="eastAsia"/>
          <w:color w:val="000000"/>
          <w:spacing w:val="4"/>
          <w:sz w:val="24"/>
        </w:rPr>
        <w:t>本标准的编制工作从</w:t>
      </w:r>
      <w:r w:rsidRPr="00121622">
        <w:rPr>
          <w:rFonts w:hint="eastAsia"/>
          <w:color w:val="000000"/>
          <w:sz w:val="24"/>
        </w:rPr>
        <w:t>20</w:t>
      </w:r>
      <w:r w:rsidR="006A0D2D" w:rsidRPr="00121622">
        <w:rPr>
          <w:rFonts w:hint="eastAsia"/>
          <w:color w:val="000000"/>
          <w:sz w:val="24"/>
        </w:rPr>
        <w:t>13</w:t>
      </w:r>
      <w:r w:rsidRPr="00121622">
        <w:rPr>
          <w:rFonts w:hint="eastAsia"/>
          <w:color w:val="000000"/>
          <w:sz w:val="24"/>
        </w:rPr>
        <w:t>年</w:t>
      </w:r>
      <w:r w:rsidRPr="00121622">
        <w:rPr>
          <w:rFonts w:hint="eastAsia"/>
          <w:color w:val="000000"/>
          <w:sz w:val="24"/>
        </w:rPr>
        <w:t>3</w:t>
      </w:r>
      <w:r w:rsidRPr="00121622">
        <w:rPr>
          <w:rFonts w:hint="eastAsia"/>
          <w:color w:val="000000"/>
          <w:spacing w:val="3"/>
          <w:sz w:val="24"/>
        </w:rPr>
        <w:t>月开始，由</w:t>
      </w:r>
      <w:r w:rsidR="006A0D2D" w:rsidRPr="00121622">
        <w:rPr>
          <w:rFonts w:hint="eastAsia"/>
          <w:color w:val="000000"/>
          <w:spacing w:val="3"/>
          <w:sz w:val="24"/>
        </w:rPr>
        <w:t>成都易态科技有限公司研发部</w:t>
      </w:r>
      <w:r w:rsidRPr="00121622">
        <w:rPr>
          <w:rFonts w:hint="eastAsia"/>
          <w:color w:val="000000"/>
          <w:spacing w:val="4"/>
          <w:sz w:val="24"/>
        </w:rPr>
        <w:t>具体承担。</w:t>
      </w:r>
    </w:p>
    <w:p w:rsidR="006A0D2D" w:rsidRPr="00121622" w:rsidRDefault="00732A47" w:rsidP="00160616">
      <w:pPr>
        <w:spacing w:beforeLines="50" w:afterLines="50" w:line="360" w:lineRule="auto"/>
        <w:ind w:firstLineChars="200" w:firstLine="496"/>
        <w:rPr>
          <w:rFonts w:ascii="simsun" w:hAnsi="simsun" w:hint="eastAsia"/>
          <w:color w:val="000000"/>
          <w:sz w:val="24"/>
        </w:rPr>
      </w:pPr>
      <w:r w:rsidRPr="00121622">
        <w:rPr>
          <w:rFonts w:hint="eastAsia"/>
          <w:color w:val="000000"/>
          <w:spacing w:val="4"/>
          <w:sz w:val="24"/>
        </w:rPr>
        <w:t>本标准制定严格按</w:t>
      </w:r>
      <w:r w:rsidRPr="00121622">
        <w:rPr>
          <w:rFonts w:hint="eastAsia"/>
          <w:color w:val="000000"/>
          <w:sz w:val="24"/>
        </w:rPr>
        <w:t>GB/T1.1</w:t>
      </w:r>
      <w:r w:rsidRPr="00121622">
        <w:rPr>
          <w:rFonts w:hint="eastAsia"/>
          <w:color w:val="000000"/>
          <w:spacing w:val="4"/>
          <w:sz w:val="24"/>
        </w:rPr>
        <w:t>《标准化工作导则第</w:t>
      </w:r>
      <w:r w:rsidRPr="00121622">
        <w:rPr>
          <w:rFonts w:hint="eastAsia"/>
          <w:color w:val="000000"/>
          <w:sz w:val="24"/>
        </w:rPr>
        <w:t>1</w:t>
      </w:r>
      <w:r w:rsidRPr="00121622">
        <w:rPr>
          <w:rFonts w:hint="eastAsia"/>
          <w:color w:val="000000"/>
          <w:spacing w:val="-9"/>
          <w:sz w:val="24"/>
        </w:rPr>
        <w:t>部分：标准的结构和编写</w:t>
      </w:r>
      <w:r w:rsidRPr="00121622">
        <w:rPr>
          <w:rFonts w:hint="eastAsia"/>
          <w:color w:val="000000"/>
          <w:spacing w:val="4"/>
          <w:sz w:val="24"/>
        </w:rPr>
        <w:t>规则》</w:t>
      </w:r>
      <w:r w:rsidRPr="00121622">
        <w:rPr>
          <w:rFonts w:hint="eastAsia"/>
          <w:color w:val="000000"/>
          <w:sz w:val="24"/>
        </w:rPr>
        <w:t>，</w:t>
      </w:r>
      <w:r w:rsidRPr="00121622">
        <w:rPr>
          <w:rFonts w:hint="eastAsia"/>
          <w:color w:val="000000"/>
          <w:sz w:val="24"/>
        </w:rPr>
        <w:t>GB/T1.2</w:t>
      </w:r>
      <w:r w:rsidRPr="00121622">
        <w:rPr>
          <w:rFonts w:hint="eastAsia"/>
          <w:color w:val="000000"/>
          <w:spacing w:val="4"/>
          <w:sz w:val="24"/>
        </w:rPr>
        <w:t>《标准化工作导则第</w:t>
      </w:r>
      <w:r w:rsidRPr="00121622">
        <w:rPr>
          <w:rFonts w:hint="eastAsia"/>
          <w:color w:val="000000"/>
          <w:sz w:val="24"/>
        </w:rPr>
        <w:t>2</w:t>
      </w:r>
      <w:r w:rsidRPr="00121622">
        <w:rPr>
          <w:rFonts w:hint="eastAsia"/>
          <w:color w:val="000000"/>
          <w:spacing w:val="4"/>
          <w:sz w:val="24"/>
        </w:rPr>
        <w:t>部分</w:t>
      </w:r>
      <w:r w:rsidRPr="00121622">
        <w:rPr>
          <w:rFonts w:hint="eastAsia"/>
          <w:color w:val="000000"/>
          <w:sz w:val="24"/>
        </w:rPr>
        <w:t>:</w:t>
      </w:r>
      <w:r w:rsidRPr="00121622">
        <w:rPr>
          <w:rFonts w:hint="eastAsia"/>
          <w:color w:val="000000"/>
          <w:spacing w:val="4"/>
          <w:sz w:val="24"/>
        </w:rPr>
        <w:t>标准中规范性技术要素内容的确定</w:t>
      </w:r>
      <w:r w:rsidRPr="00121622">
        <w:rPr>
          <w:rFonts w:hint="eastAsia"/>
          <w:color w:val="000000"/>
          <w:spacing w:val="3"/>
          <w:sz w:val="24"/>
        </w:rPr>
        <w:t>方法》要求进行。</w:t>
      </w:r>
      <w:r w:rsidRPr="00121622">
        <w:rPr>
          <w:rFonts w:ascii="simsun" w:hAnsi="simsun"/>
          <w:color w:val="000000"/>
          <w:sz w:val="24"/>
        </w:rPr>
        <w:t> </w:t>
      </w:r>
    </w:p>
    <w:p w:rsidR="00732A47" w:rsidRPr="00121622" w:rsidRDefault="00732A47" w:rsidP="00160616">
      <w:pPr>
        <w:spacing w:beforeLines="50" w:afterLines="50" w:line="360" w:lineRule="auto"/>
        <w:ind w:firstLineChars="200" w:firstLine="496"/>
        <w:rPr>
          <w:color w:val="000000"/>
          <w:spacing w:val="4"/>
          <w:sz w:val="24"/>
        </w:rPr>
      </w:pPr>
      <w:r w:rsidRPr="00121622">
        <w:rPr>
          <w:rFonts w:hint="eastAsia"/>
          <w:color w:val="000000"/>
          <w:spacing w:val="4"/>
          <w:sz w:val="24"/>
        </w:rPr>
        <w:lastRenderedPageBreak/>
        <w:t>从接到标准的编制任务开始，参加编写的人员就开始收集国内</w:t>
      </w:r>
      <w:r w:rsidR="001A7B8C" w:rsidRPr="00121622">
        <w:rPr>
          <w:rFonts w:hint="eastAsia"/>
          <w:color w:val="000000"/>
          <w:spacing w:val="4"/>
          <w:sz w:val="24"/>
        </w:rPr>
        <w:t>外</w:t>
      </w:r>
      <w:r w:rsidRPr="00121622">
        <w:rPr>
          <w:rFonts w:hint="eastAsia"/>
          <w:color w:val="000000"/>
          <w:spacing w:val="4"/>
          <w:sz w:val="24"/>
        </w:rPr>
        <w:t>有关</w:t>
      </w:r>
      <w:r w:rsidR="001A7B8C" w:rsidRPr="00121622">
        <w:rPr>
          <w:rFonts w:hint="eastAsia"/>
          <w:color w:val="000000"/>
          <w:spacing w:val="4"/>
          <w:sz w:val="24"/>
        </w:rPr>
        <w:t>金属多孔材料滤芯</w:t>
      </w:r>
      <w:r w:rsidRPr="00121622">
        <w:rPr>
          <w:rFonts w:hint="eastAsia"/>
          <w:color w:val="000000"/>
          <w:spacing w:val="4"/>
          <w:sz w:val="24"/>
        </w:rPr>
        <w:t>、</w:t>
      </w:r>
      <w:r w:rsidR="001A7B8C" w:rsidRPr="00121622">
        <w:rPr>
          <w:rFonts w:hint="eastAsia"/>
          <w:color w:val="000000"/>
          <w:sz w:val="24"/>
        </w:rPr>
        <w:t>陶瓷滤芯</w:t>
      </w:r>
      <w:r w:rsidRPr="00121622">
        <w:rPr>
          <w:rFonts w:hint="eastAsia"/>
          <w:color w:val="000000"/>
          <w:spacing w:val="3"/>
          <w:sz w:val="24"/>
        </w:rPr>
        <w:t>的资料，随后召集了</w:t>
      </w:r>
      <w:r w:rsidR="001A7B8C" w:rsidRPr="00121622">
        <w:rPr>
          <w:rFonts w:hint="eastAsia"/>
          <w:color w:val="000000"/>
          <w:spacing w:val="3"/>
          <w:sz w:val="24"/>
        </w:rPr>
        <w:t>国内</w:t>
      </w:r>
      <w:r w:rsidRPr="00121622">
        <w:rPr>
          <w:rFonts w:hint="eastAsia"/>
          <w:color w:val="000000"/>
          <w:spacing w:val="3"/>
          <w:sz w:val="24"/>
        </w:rPr>
        <w:t>部分</w:t>
      </w:r>
      <w:r w:rsidR="001A7B8C" w:rsidRPr="00121622">
        <w:rPr>
          <w:rFonts w:hint="eastAsia"/>
          <w:color w:val="000000"/>
          <w:spacing w:val="3"/>
          <w:sz w:val="24"/>
        </w:rPr>
        <w:t>滤芯</w:t>
      </w:r>
      <w:r w:rsidRPr="00121622">
        <w:rPr>
          <w:rFonts w:hint="eastAsia"/>
          <w:color w:val="000000"/>
          <w:spacing w:val="3"/>
          <w:sz w:val="24"/>
        </w:rPr>
        <w:t>生产企业</w:t>
      </w:r>
      <w:r w:rsidR="00217C91" w:rsidRPr="00121622">
        <w:rPr>
          <w:rFonts w:hint="eastAsia"/>
          <w:color w:val="000000"/>
          <w:spacing w:val="3"/>
          <w:sz w:val="24"/>
        </w:rPr>
        <w:t>和使用企业</w:t>
      </w:r>
      <w:r w:rsidRPr="00121622">
        <w:rPr>
          <w:rFonts w:hint="eastAsia"/>
          <w:color w:val="000000"/>
          <w:spacing w:val="3"/>
          <w:sz w:val="24"/>
        </w:rPr>
        <w:t>的代表共同讨论，</w:t>
      </w:r>
      <w:r w:rsidRPr="00121622">
        <w:rPr>
          <w:rFonts w:hint="eastAsia"/>
          <w:color w:val="000000"/>
          <w:sz w:val="24"/>
        </w:rPr>
        <w:t>结合</w:t>
      </w:r>
      <w:r w:rsidR="00217C91" w:rsidRPr="00121622">
        <w:rPr>
          <w:rFonts w:hint="eastAsia"/>
          <w:color w:val="000000"/>
          <w:sz w:val="24"/>
        </w:rPr>
        <w:t>工况实际应用状态，制定了</w:t>
      </w:r>
      <w:r w:rsidRPr="00121622">
        <w:rPr>
          <w:rFonts w:hint="eastAsia"/>
          <w:color w:val="000000"/>
          <w:sz w:val="24"/>
        </w:rPr>
        <w:t>本标准中需要检</w:t>
      </w:r>
      <w:r w:rsidRPr="00121622">
        <w:rPr>
          <w:rFonts w:hint="eastAsia"/>
          <w:color w:val="000000"/>
          <w:spacing w:val="4"/>
          <w:sz w:val="24"/>
        </w:rPr>
        <w:t>测的各项指标。</w:t>
      </w:r>
    </w:p>
    <w:p w:rsidR="00785EE2" w:rsidRPr="00AC2BF3" w:rsidRDefault="00217C91" w:rsidP="00160616">
      <w:pPr>
        <w:spacing w:beforeLines="50" w:afterLines="50" w:line="360" w:lineRule="auto"/>
        <w:rPr>
          <w:b/>
          <w:color w:val="000000"/>
          <w:spacing w:val="4"/>
          <w:sz w:val="24"/>
        </w:rPr>
      </w:pPr>
      <w:r w:rsidRPr="00AC2BF3">
        <w:rPr>
          <w:rFonts w:hint="eastAsia"/>
          <w:b/>
          <w:color w:val="000000"/>
          <w:spacing w:val="4"/>
          <w:sz w:val="24"/>
        </w:rPr>
        <w:t>4</w:t>
      </w:r>
      <w:r w:rsidRPr="00AC2BF3">
        <w:rPr>
          <w:rFonts w:hint="eastAsia"/>
          <w:b/>
          <w:color w:val="000000"/>
          <w:spacing w:val="4"/>
          <w:sz w:val="24"/>
        </w:rPr>
        <w:t>标准编制原则和依据</w:t>
      </w:r>
    </w:p>
    <w:p w:rsidR="00217C91" w:rsidRPr="00121622" w:rsidRDefault="00785EE2" w:rsidP="00160616">
      <w:pPr>
        <w:spacing w:beforeLines="50" w:afterLines="50" w:line="360" w:lineRule="auto"/>
        <w:ind w:firstLineChars="200" w:firstLine="400"/>
        <w:rPr>
          <w:color w:val="000000"/>
          <w:spacing w:val="3"/>
          <w:sz w:val="24"/>
        </w:rPr>
      </w:pPr>
      <w:r w:rsidRPr="00121622">
        <w:rPr>
          <w:rFonts w:hint="eastAsia"/>
          <w:color w:val="000000"/>
          <w:spacing w:val="-20"/>
          <w:sz w:val="24"/>
        </w:rPr>
        <w:t>标准编制遵循“科学性、实用性、统一性、规范性”的原则，</w:t>
      </w:r>
      <w:r w:rsidR="00AE2501" w:rsidRPr="00121622">
        <w:rPr>
          <w:rFonts w:hint="eastAsia"/>
          <w:color w:val="000000"/>
          <w:spacing w:val="-20"/>
          <w:sz w:val="24"/>
        </w:rPr>
        <w:t>结合</w:t>
      </w:r>
      <w:r w:rsidRPr="00121622">
        <w:rPr>
          <w:rFonts w:hint="eastAsia"/>
          <w:color w:val="000000"/>
          <w:spacing w:val="-20"/>
          <w:sz w:val="24"/>
        </w:rPr>
        <w:t>国</w:t>
      </w:r>
      <w:r w:rsidRPr="00121622">
        <w:rPr>
          <w:rFonts w:hint="eastAsia"/>
          <w:color w:val="000000"/>
          <w:spacing w:val="3"/>
          <w:sz w:val="24"/>
        </w:rPr>
        <w:t>家现行标准，重点突出在</w:t>
      </w:r>
      <w:r w:rsidR="00AE2501" w:rsidRPr="00121622">
        <w:rPr>
          <w:rFonts w:hint="eastAsia"/>
          <w:color w:val="000000"/>
          <w:spacing w:val="3"/>
          <w:sz w:val="24"/>
        </w:rPr>
        <w:t>规格</w:t>
      </w:r>
      <w:r w:rsidRPr="00121622">
        <w:rPr>
          <w:rFonts w:hint="eastAsia"/>
          <w:color w:val="000000"/>
          <w:spacing w:val="3"/>
          <w:sz w:val="24"/>
        </w:rPr>
        <w:t>、</w:t>
      </w:r>
      <w:r w:rsidR="00AE2501" w:rsidRPr="00121622">
        <w:rPr>
          <w:rFonts w:hint="eastAsia"/>
          <w:color w:val="000000"/>
          <w:spacing w:val="3"/>
          <w:sz w:val="24"/>
        </w:rPr>
        <w:t>力学性能</w:t>
      </w:r>
      <w:r w:rsidRPr="00121622">
        <w:rPr>
          <w:rFonts w:hint="eastAsia"/>
          <w:color w:val="000000"/>
          <w:spacing w:val="3"/>
          <w:sz w:val="24"/>
        </w:rPr>
        <w:t>指标上，并注重标准的可操作性。</w:t>
      </w:r>
    </w:p>
    <w:p w:rsidR="00AE2501" w:rsidRPr="00121622" w:rsidRDefault="00AE2501" w:rsidP="00160616">
      <w:pPr>
        <w:spacing w:beforeLines="50" w:afterLines="50" w:line="360" w:lineRule="auto"/>
        <w:jc w:val="center"/>
        <w:rPr>
          <w:color w:val="000000"/>
          <w:spacing w:val="3"/>
          <w:sz w:val="24"/>
        </w:rPr>
      </w:pPr>
      <w:r w:rsidRPr="00121622">
        <w:rPr>
          <w:rFonts w:hint="eastAsia"/>
          <w:color w:val="000000"/>
          <w:spacing w:val="3"/>
          <w:sz w:val="24"/>
        </w:rPr>
        <w:t>表</w:t>
      </w:r>
      <w:r w:rsidRPr="00121622">
        <w:rPr>
          <w:rFonts w:hint="eastAsia"/>
          <w:color w:val="000000"/>
          <w:spacing w:val="3"/>
          <w:sz w:val="24"/>
        </w:rPr>
        <w:t xml:space="preserve">1 </w:t>
      </w:r>
      <w:r w:rsidRPr="00121622">
        <w:rPr>
          <w:rFonts w:hint="eastAsia"/>
          <w:color w:val="000000"/>
          <w:spacing w:val="3"/>
          <w:sz w:val="24"/>
        </w:rPr>
        <w:t>参照标准</w:t>
      </w:r>
    </w:p>
    <w:tbl>
      <w:tblPr>
        <w:tblStyle w:val="aa"/>
        <w:tblW w:w="5000" w:type="pct"/>
        <w:tblLook w:val="04A0"/>
      </w:tblPr>
      <w:tblGrid>
        <w:gridCol w:w="960"/>
        <w:gridCol w:w="2125"/>
        <w:gridCol w:w="5437"/>
      </w:tblGrid>
      <w:tr w:rsidR="00AE2501" w:rsidRPr="00121622" w:rsidTr="000263B8">
        <w:tc>
          <w:tcPr>
            <w:tcW w:w="563" w:type="pct"/>
          </w:tcPr>
          <w:p w:rsidR="00AE2501" w:rsidRPr="00121622" w:rsidRDefault="00AE2501" w:rsidP="00AE250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21622">
              <w:rPr>
                <w:rFonts w:asciiTheme="majorEastAsia" w:eastAsiaTheme="majorEastAsia" w:hAnsiTheme="majorEastAsia" w:hint="eastAsia"/>
                <w:sz w:val="24"/>
              </w:rPr>
              <w:t>序号</w:t>
            </w:r>
          </w:p>
        </w:tc>
        <w:tc>
          <w:tcPr>
            <w:tcW w:w="1247" w:type="pct"/>
          </w:tcPr>
          <w:p w:rsidR="00AE2501" w:rsidRPr="00121622" w:rsidRDefault="00AE2501" w:rsidP="00AE250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21622">
              <w:rPr>
                <w:rFonts w:asciiTheme="majorEastAsia" w:eastAsiaTheme="majorEastAsia" w:hAnsiTheme="majorEastAsia" w:hint="eastAsia"/>
                <w:sz w:val="24"/>
              </w:rPr>
              <w:t>标准号</w:t>
            </w:r>
          </w:p>
        </w:tc>
        <w:tc>
          <w:tcPr>
            <w:tcW w:w="3190" w:type="pct"/>
          </w:tcPr>
          <w:p w:rsidR="00AE2501" w:rsidRPr="00121622" w:rsidRDefault="00AE2501" w:rsidP="00AE250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21622">
              <w:rPr>
                <w:rFonts w:asciiTheme="majorEastAsia" w:eastAsiaTheme="majorEastAsia" w:hAnsiTheme="majorEastAsia" w:hint="eastAsia"/>
                <w:sz w:val="24"/>
              </w:rPr>
              <w:t>标准名称</w:t>
            </w:r>
          </w:p>
        </w:tc>
      </w:tr>
      <w:tr w:rsidR="00AE2501" w:rsidRPr="00121622" w:rsidTr="000263B8">
        <w:tc>
          <w:tcPr>
            <w:tcW w:w="563" w:type="pct"/>
          </w:tcPr>
          <w:p w:rsidR="00AE2501" w:rsidRPr="00121622" w:rsidRDefault="00AE2501" w:rsidP="00AE250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21622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1247" w:type="pct"/>
          </w:tcPr>
          <w:p w:rsidR="00AE2501" w:rsidRPr="00121622" w:rsidRDefault="00AE2501" w:rsidP="00AE2501">
            <w:pPr>
              <w:rPr>
                <w:rFonts w:asciiTheme="majorEastAsia" w:eastAsiaTheme="majorEastAsia" w:hAnsiTheme="majorEastAsia"/>
                <w:sz w:val="24"/>
              </w:rPr>
            </w:pPr>
            <w:r w:rsidRPr="00121622">
              <w:rPr>
                <w:rFonts w:ascii="宋体" w:hAnsi="宋体" w:hint="eastAsia"/>
                <w:sz w:val="24"/>
              </w:rPr>
              <w:t xml:space="preserve">GB/T 191  </w:t>
            </w:r>
          </w:p>
        </w:tc>
        <w:tc>
          <w:tcPr>
            <w:tcW w:w="3190" w:type="pct"/>
          </w:tcPr>
          <w:p w:rsidR="00AE2501" w:rsidRPr="00121622" w:rsidRDefault="00AE2501" w:rsidP="00AE2501">
            <w:pPr>
              <w:rPr>
                <w:rFonts w:ascii="宋体" w:hAnsi="宋体"/>
                <w:sz w:val="24"/>
              </w:rPr>
            </w:pPr>
            <w:r w:rsidRPr="00121622">
              <w:rPr>
                <w:rFonts w:ascii="宋体" w:hAnsi="宋体" w:hint="eastAsia"/>
                <w:sz w:val="24"/>
              </w:rPr>
              <w:t>包装储运图示标志</w:t>
            </w:r>
          </w:p>
        </w:tc>
      </w:tr>
      <w:tr w:rsidR="00AE2501" w:rsidRPr="00121622" w:rsidTr="000263B8">
        <w:tc>
          <w:tcPr>
            <w:tcW w:w="563" w:type="pct"/>
          </w:tcPr>
          <w:p w:rsidR="00AE2501" w:rsidRPr="00121622" w:rsidRDefault="00AE2501" w:rsidP="00AE250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21622"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1247" w:type="pct"/>
          </w:tcPr>
          <w:p w:rsidR="00AE2501" w:rsidRPr="00121622" w:rsidRDefault="00AE2501" w:rsidP="00AE2501">
            <w:pPr>
              <w:rPr>
                <w:rFonts w:asciiTheme="majorEastAsia" w:eastAsiaTheme="majorEastAsia" w:hAnsiTheme="majorEastAsia"/>
                <w:sz w:val="24"/>
              </w:rPr>
            </w:pPr>
            <w:r w:rsidRPr="00121622">
              <w:rPr>
                <w:rFonts w:ascii="宋体" w:hAnsi="宋体" w:hint="eastAsia"/>
                <w:sz w:val="24"/>
              </w:rPr>
              <w:t>GB/T 5250</w:t>
            </w:r>
          </w:p>
        </w:tc>
        <w:tc>
          <w:tcPr>
            <w:tcW w:w="3190" w:type="pct"/>
          </w:tcPr>
          <w:p w:rsidR="00AE2501" w:rsidRPr="00121622" w:rsidRDefault="00AE2501" w:rsidP="00AE2501">
            <w:pPr>
              <w:rPr>
                <w:rFonts w:ascii="宋体" w:hAnsi="宋体"/>
                <w:sz w:val="24"/>
              </w:rPr>
            </w:pPr>
            <w:r w:rsidRPr="00121622">
              <w:rPr>
                <w:rFonts w:ascii="宋体" w:hAnsi="宋体" w:hint="eastAsia"/>
                <w:sz w:val="24"/>
              </w:rPr>
              <w:t>可渗透烧结金属材料  流体渗透性的测定</w:t>
            </w:r>
          </w:p>
        </w:tc>
      </w:tr>
      <w:tr w:rsidR="00AE2501" w:rsidRPr="00121622" w:rsidTr="000263B8">
        <w:tc>
          <w:tcPr>
            <w:tcW w:w="563" w:type="pct"/>
          </w:tcPr>
          <w:p w:rsidR="00AE2501" w:rsidRPr="00121622" w:rsidRDefault="00AE2501" w:rsidP="00AE250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21622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1247" w:type="pct"/>
          </w:tcPr>
          <w:p w:rsidR="00AE2501" w:rsidRPr="00121622" w:rsidRDefault="00AE2501" w:rsidP="00AE2501">
            <w:pPr>
              <w:rPr>
                <w:rFonts w:asciiTheme="majorEastAsia" w:eastAsiaTheme="majorEastAsia" w:hAnsiTheme="majorEastAsia"/>
                <w:sz w:val="24"/>
              </w:rPr>
            </w:pPr>
            <w:r w:rsidRPr="00121622">
              <w:rPr>
                <w:rFonts w:ascii="宋体" w:hAnsi="宋体" w:hint="eastAsia"/>
                <w:sz w:val="24"/>
              </w:rPr>
              <w:t>GB/T 7963</w:t>
            </w:r>
          </w:p>
        </w:tc>
        <w:tc>
          <w:tcPr>
            <w:tcW w:w="3190" w:type="pct"/>
          </w:tcPr>
          <w:p w:rsidR="00AE2501" w:rsidRPr="00121622" w:rsidRDefault="00AE2501" w:rsidP="00AE2501">
            <w:pPr>
              <w:rPr>
                <w:rFonts w:asciiTheme="majorEastAsia" w:eastAsiaTheme="majorEastAsia" w:hAnsiTheme="majorEastAsia"/>
                <w:sz w:val="24"/>
              </w:rPr>
            </w:pPr>
            <w:r w:rsidRPr="00121622">
              <w:rPr>
                <w:rFonts w:ascii="宋体" w:hAnsi="宋体" w:hint="eastAsia"/>
                <w:sz w:val="24"/>
              </w:rPr>
              <w:t>烧结金属材料（不包括硬质合金） 拉伸试样</w:t>
            </w:r>
          </w:p>
        </w:tc>
      </w:tr>
      <w:tr w:rsidR="00AE2501" w:rsidRPr="00121622" w:rsidTr="000263B8">
        <w:tc>
          <w:tcPr>
            <w:tcW w:w="563" w:type="pct"/>
          </w:tcPr>
          <w:p w:rsidR="00AE2501" w:rsidRPr="00121622" w:rsidRDefault="00AE2501" w:rsidP="00AE250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21622"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1247" w:type="pct"/>
          </w:tcPr>
          <w:p w:rsidR="00AE2501" w:rsidRPr="00121622" w:rsidRDefault="00AE2501" w:rsidP="00AE2501">
            <w:pPr>
              <w:rPr>
                <w:rFonts w:asciiTheme="majorEastAsia" w:eastAsiaTheme="majorEastAsia" w:hAnsiTheme="majorEastAsia"/>
                <w:sz w:val="24"/>
              </w:rPr>
            </w:pPr>
            <w:r w:rsidRPr="00121622">
              <w:rPr>
                <w:rFonts w:ascii="宋体" w:hAnsi="宋体" w:hint="eastAsia"/>
                <w:sz w:val="24"/>
              </w:rPr>
              <w:t>GB/T 7964</w:t>
            </w:r>
          </w:p>
        </w:tc>
        <w:tc>
          <w:tcPr>
            <w:tcW w:w="3190" w:type="pct"/>
          </w:tcPr>
          <w:p w:rsidR="00AE2501" w:rsidRPr="00121622" w:rsidRDefault="00AE2501" w:rsidP="00AE2501">
            <w:pPr>
              <w:rPr>
                <w:rFonts w:asciiTheme="majorEastAsia" w:eastAsiaTheme="majorEastAsia" w:hAnsiTheme="majorEastAsia"/>
                <w:sz w:val="24"/>
              </w:rPr>
            </w:pPr>
            <w:r w:rsidRPr="00121622">
              <w:rPr>
                <w:rFonts w:ascii="宋体" w:hAnsi="宋体" w:hint="eastAsia"/>
                <w:sz w:val="24"/>
              </w:rPr>
              <w:t>烧结金属材料（不包括硬质合金） 室温拉伸试验</w:t>
            </w:r>
          </w:p>
        </w:tc>
      </w:tr>
      <w:tr w:rsidR="00AE2501" w:rsidRPr="00121622" w:rsidTr="000263B8">
        <w:tc>
          <w:tcPr>
            <w:tcW w:w="563" w:type="pct"/>
          </w:tcPr>
          <w:p w:rsidR="00AE2501" w:rsidRPr="00121622" w:rsidRDefault="00AE2501" w:rsidP="00AE250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21622"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1247" w:type="pct"/>
          </w:tcPr>
          <w:p w:rsidR="00AE2501" w:rsidRPr="00121622" w:rsidRDefault="00AE2501" w:rsidP="00AE2501">
            <w:pPr>
              <w:rPr>
                <w:rFonts w:asciiTheme="majorEastAsia" w:eastAsiaTheme="majorEastAsia" w:hAnsiTheme="majorEastAsia"/>
                <w:sz w:val="24"/>
              </w:rPr>
            </w:pPr>
            <w:r w:rsidRPr="00121622">
              <w:rPr>
                <w:rFonts w:ascii="宋体" w:hAnsi="宋体" w:cs="宋体"/>
                <w:color w:val="333333"/>
                <w:kern w:val="0"/>
                <w:sz w:val="24"/>
              </w:rPr>
              <w:t>GB</w:t>
            </w:r>
            <w:r w:rsidRPr="00121622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/T </w:t>
            </w:r>
            <w:r w:rsidRPr="00121622">
              <w:rPr>
                <w:rFonts w:ascii="宋体" w:hAnsi="宋体" w:cs="宋体"/>
                <w:color w:val="333333"/>
                <w:kern w:val="0"/>
                <w:sz w:val="24"/>
              </w:rPr>
              <w:t>13554</w:t>
            </w:r>
          </w:p>
        </w:tc>
        <w:tc>
          <w:tcPr>
            <w:tcW w:w="3190" w:type="pct"/>
          </w:tcPr>
          <w:p w:rsidR="00AE2501" w:rsidRPr="00121622" w:rsidRDefault="00AE2501" w:rsidP="00AE2501">
            <w:pPr>
              <w:rPr>
                <w:rFonts w:asciiTheme="majorEastAsia" w:eastAsiaTheme="majorEastAsia" w:hAnsiTheme="majorEastAsia"/>
                <w:sz w:val="24"/>
              </w:rPr>
            </w:pPr>
            <w:r w:rsidRPr="00121622">
              <w:rPr>
                <w:rFonts w:ascii="宋体" w:hAnsi="宋体" w:cs="宋体" w:hint="eastAsia"/>
                <w:color w:val="333333"/>
                <w:kern w:val="0"/>
                <w:sz w:val="24"/>
              </w:rPr>
              <w:t>高效空气过滤器</w:t>
            </w:r>
          </w:p>
        </w:tc>
      </w:tr>
      <w:tr w:rsidR="00AE2501" w:rsidRPr="00121622" w:rsidTr="000263B8">
        <w:tc>
          <w:tcPr>
            <w:tcW w:w="563" w:type="pct"/>
          </w:tcPr>
          <w:p w:rsidR="00AE2501" w:rsidRPr="00121622" w:rsidRDefault="00AE2501" w:rsidP="00AE250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21622">
              <w:rPr>
                <w:rFonts w:asciiTheme="majorEastAsia" w:eastAsiaTheme="majorEastAsia" w:hAnsiTheme="majorEastAsia" w:hint="eastAsia"/>
                <w:sz w:val="24"/>
              </w:rPr>
              <w:t>6</w:t>
            </w:r>
          </w:p>
        </w:tc>
        <w:tc>
          <w:tcPr>
            <w:tcW w:w="1247" w:type="pct"/>
          </w:tcPr>
          <w:p w:rsidR="00AE2501" w:rsidRPr="00121622" w:rsidRDefault="00AE2501" w:rsidP="00AE2501">
            <w:pPr>
              <w:rPr>
                <w:rFonts w:asciiTheme="majorEastAsia" w:eastAsiaTheme="majorEastAsia" w:hAnsiTheme="majorEastAsia"/>
                <w:sz w:val="24"/>
              </w:rPr>
            </w:pPr>
            <w:r w:rsidRPr="00121622">
              <w:rPr>
                <w:rFonts w:ascii="宋体" w:hAnsi="宋体" w:cs="宋体"/>
                <w:color w:val="333333"/>
                <w:kern w:val="0"/>
                <w:sz w:val="24"/>
              </w:rPr>
              <w:t>GB/T</w:t>
            </w:r>
            <w:r w:rsidRPr="00121622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121622">
              <w:rPr>
                <w:rFonts w:ascii="宋体" w:hAnsi="宋体" w:cs="宋体"/>
                <w:color w:val="333333"/>
                <w:kern w:val="0"/>
                <w:sz w:val="24"/>
              </w:rPr>
              <w:t>14295</w:t>
            </w:r>
          </w:p>
        </w:tc>
        <w:tc>
          <w:tcPr>
            <w:tcW w:w="3190" w:type="pct"/>
          </w:tcPr>
          <w:p w:rsidR="00AE2501" w:rsidRPr="00121622" w:rsidRDefault="00AE2501" w:rsidP="00AE2501">
            <w:pPr>
              <w:rPr>
                <w:rFonts w:asciiTheme="majorEastAsia" w:eastAsiaTheme="majorEastAsia" w:hAnsiTheme="majorEastAsia"/>
                <w:sz w:val="24"/>
              </w:rPr>
            </w:pPr>
            <w:r w:rsidRPr="00121622">
              <w:rPr>
                <w:rFonts w:ascii="宋体" w:hAnsi="宋体" w:cs="宋体" w:hint="eastAsia"/>
                <w:color w:val="333333"/>
                <w:kern w:val="0"/>
                <w:sz w:val="24"/>
              </w:rPr>
              <w:t>空气过滤器</w:t>
            </w:r>
          </w:p>
        </w:tc>
      </w:tr>
      <w:tr w:rsidR="00AE2501" w:rsidRPr="00121622" w:rsidTr="000263B8">
        <w:tc>
          <w:tcPr>
            <w:tcW w:w="563" w:type="pct"/>
          </w:tcPr>
          <w:p w:rsidR="00AE2501" w:rsidRPr="00121622" w:rsidRDefault="00AE2501" w:rsidP="00AE250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21622">
              <w:rPr>
                <w:rFonts w:asciiTheme="majorEastAsia" w:eastAsiaTheme="majorEastAsia" w:hAnsiTheme="majorEastAsia" w:hint="eastAsia"/>
                <w:sz w:val="24"/>
              </w:rPr>
              <w:t>7</w:t>
            </w:r>
          </w:p>
        </w:tc>
        <w:tc>
          <w:tcPr>
            <w:tcW w:w="1247" w:type="pct"/>
          </w:tcPr>
          <w:p w:rsidR="00AE2501" w:rsidRPr="00121622" w:rsidRDefault="00AE2501" w:rsidP="00AE2501">
            <w:pPr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21622">
              <w:rPr>
                <w:rFonts w:ascii="宋体" w:hAnsi="宋体" w:hint="eastAsia"/>
                <w:sz w:val="24"/>
              </w:rPr>
              <w:t>GB/T 20103</w:t>
            </w:r>
          </w:p>
        </w:tc>
        <w:tc>
          <w:tcPr>
            <w:tcW w:w="3190" w:type="pct"/>
          </w:tcPr>
          <w:p w:rsidR="00AE2501" w:rsidRPr="00121622" w:rsidRDefault="00AE2501" w:rsidP="00AE2501">
            <w:pPr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21622">
              <w:rPr>
                <w:rFonts w:ascii="宋体" w:hAnsi="宋体" w:hint="eastAsia"/>
                <w:sz w:val="24"/>
              </w:rPr>
              <w:t>膜分离技术 术语</w:t>
            </w:r>
          </w:p>
        </w:tc>
      </w:tr>
    </w:tbl>
    <w:p w:rsidR="00121622" w:rsidRDefault="005D1B53" w:rsidP="00160616">
      <w:pPr>
        <w:spacing w:beforeLines="50" w:afterLines="50" w:line="360" w:lineRule="auto"/>
        <w:rPr>
          <w:rFonts w:asciiTheme="majorEastAsia" w:eastAsiaTheme="majorEastAsia" w:hAnsiTheme="majorEastAsia"/>
          <w:b/>
          <w:sz w:val="24"/>
        </w:rPr>
      </w:pPr>
      <w:r w:rsidRPr="00121622">
        <w:rPr>
          <w:rFonts w:asciiTheme="majorEastAsia" w:eastAsiaTheme="majorEastAsia" w:hAnsiTheme="majorEastAsia" w:hint="eastAsia"/>
          <w:b/>
          <w:sz w:val="24"/>
        </w:rPr>
        <w:t>5  一般说明</w:t>
      </w:r>
    </w:p>
    <w:p w:rsidR="005D1B53" w:rsidRPr="00121622" w:rsidRDefault="00121622" w:rsidP="00160616">
      <w:pPr>
        <w:spacing w:beforeLines="50" w:afterLines="50" w:line="360" w:lineRule="auto"/>
        <w:ind w:firstLineChars="200" w:firstLine="496"/>
        <w:rPr>
          <w:rFonts w:asciiTheme="majorEastAsia" w:eastAsiaTheme="majorEastAsia" w:hAnsiTheme="majorEastAsia"/>
          <w:sz w:val="24"/>
        </w:rPr>
      </w:pPr>
      <w:r w:rsidRPr="00121622">
        <w:rPr>
          <w:rFonts w:hint="eastAsia"/>
          <w:color w:val="000000"/>
          <w:spacing w:val="4"/>
          <w:sz w:val="24"/>
        </w:rPr>
        <w:t>检验一般包括出厂检验和型式检验。本标准在制定时</w:t>
      </w:r>
      <w:r w:rsidR="00861CC7">
        <w:rPr>
          <w:rFonts w:hint="eastAsia"/>
          <w:color w:val="000000"/>
          <w:spacing w:val="4"/>
          <w:sz w:val="24"/>
        </w:rPr>
        <w:t>参照现有</w:t>
      </w:r>
      <w:r w:rsidRPr="00121622">
        <w:rPr>
          <w:rFonts w:hint="eastAsia"/>
          <w:color w:val="000000"/>
          <w:spacing w:val="4"/>
          <w:sz w:val="24"/>
        </w:rPr>
        <w:t>相关要求，对涉及</w:t>
      </w:r>
      <w:r w:rsidR="00861CC7">
        <w:rPr>
          <w:rFonts w:hint="eastAsia"/>
          <w:color w:val="000000"/>
          <w:spacing w:val="4"/>
          <w:sz w:val="24"/>
        </w:rPr>
        <w:t>过滤原件性能</w:t>
      </w:r>
      <w:r w:rsidRPr="00121622">
        <w:rPr>
          <w:rFonts w:hint="eastAsia"/>
          <w:color w:val="000000"/>
          <w:spacing w:val="4"/>
          <w:sz w:val="24"/>
        </w:rPr>
        <w:t>的指标严格把关。出厂</w:t>
      </w:r>
      <w:r w:rsidRPr="00121622">
        <w:rPr>
          <w:rFonts w:hint="eastAsia"/>
          <w:color w:val="000000"/>
          <w:spacing w:val="-14"/>
          <w:sz w:val="24"/>
        </w:rPr>
        <w:t>检验要求每批必检，项目有</w:t>
      </w:r>
      <w:r w:rsidR="00AC2BF3" w:rsidRPr="00AC2BF3">
        <w:rPr>
          <w:rFonts w:hint="eastAsia"/>
          <w:color w:val="000000"/>
          <w:spacing w:val="-14"/>
          <w:sz w:val="24"/>
        </w:rPr>
        <w:t>外观、规格尺寸及允许偏差、透气量及渗透性系数</w:t>
      </w:r>
      <w:r w:rsidRPr="00121622">
        <w:rPr>
          <w:rFonts w:hint="eastAsia"/>
          <w:color w:val="000000"/>
          <w:spacing w:val="-14"/>
          <w:sz w:val="24"/>
        </w:rPr>
        <w:t>。型式检验则是根据具体情况而</w:t>
      </w:r>
      <w:r w:rsidRPr="00121622">
        <w:rPr>
          <w:rFonts w:hint="eastAsia"/>
          <w:color w:val="000000"/>
          <w:spacing w:val="4"/>
          <w:sz w:val="24"/>
        </w:rPr>
        <w:t>定，一般为半年一次</w:t>
      </w:r>
      <w:r w:rsidR="00861CC7">
        <w:rPr>
          <w:rFonts w:hint="eastAsia"/>
          <w:color w:val="000000"/>
          <w:spacing w:val="4"/>
          <w:sz w:val="24"/>
        </w:rPr>
        <w:t>。</w:t>
      </w:r>
    </w:p>
    <w:p w:rsidR="005D1B53" w:rsidRPr="00121622" w:rsidRDefault="005D1B53" w:rsidP="00160616">
      <w:pPr>
        <w:pStyle w:val="ab"/>
        <w:numPr>
          <w:ilvl w:val="0"/>
          <w:numId w:val="2"/>
        </w:numPr>
        <w:spacing w:beforeLines="50" w:afterLines="50" w:line="360" w:lineRule="auto"/>
        <w:ind w:firstLineChars="0"/>
        <w:rPr>
          <w:rFonts w:asciiTheme="majorEastAsia" w:eastAsiaTheme="majorEastAsia" w:hAnsiTheme="majorEastAsia"/>
          <w:b/>
          <w:sz w:val="24"/>
        </w:rPr>
      </w:pPr>
      <w:r w:rsidRPr="00121622">
        <w:rPr>
          <w:rFonts w:asciiTheme="majorEastAsia" w:eastAsiaTheme="majorEastAsia" w:hAnsiTheme="majorEastAsia" w:hint="eastAsia"/>
          <w:b/>
          <w:sz w:val="24"/>
        </w:rPr>
        <w:t>各项指标的确定和依据说明</w:t>
      </w:r>
    </w:p>
    <w:p w:rsidR="005F5253" w:rsidRPr="00121622" w:rsidRDefault="005F5253" w:rsidP="005F5253">
      <w:pPr>
        <w:pStyle w:val="a1"/>
        <w:numPr>
          <w:ilvl w:val="0"/>
          <w:numId w:val="0"/>
        </w:numPr>
        <w:spacing w:before="156" w:after="156"/>
        <w:rPr>
          <w:sz w:val="24"/>
          <w:szCs w:val="24"/>
        </w:rPr>
      </w:pPr>
      <w:r w:rsidRPr="00121622">
        <w:rPr>
          <w:rFonts w:hint="eastAsia"/>
          <w:sz w:val="24"/>
          <w:szCs w:val="24"/>
        </w:rPr>
        <w:t>6.1气体中阻挡的颗粒尺寸值</w:t>
      </w:r>
    </w:p>
    <w:p w:rsidR="00F84060" w:rsidRPr="00121622" w:rsidRDefault="00F84060" w:rsidP="001B1E00">
      <w:pPr>
        <w:ind w:firstLineChars="200" w:firstLine="480"/>
        <w:rPr>
          <w:sz w:val="24"/>
        </w:rPr>
      </w:pPr>
      <w:r w:rsidRPr="00121622">
        <w:rPr>
          <w:rFonts w:hint="eastAsia"/>
          <w:sz w:val="24"/>
        </w:rPr>
        <w:t>过滤原件对气体中</w:t>
      </w:r>
      <w:r w:rsidR="0002461B" w:rsidRPr="00121622">
        <w:rPr>
          <w:rFonts w:hint="eastAsia"/>
          <w:sz w:val="24"/>
        </w:rPr>
        <w:t>阻挡的颗粒尺寸值体现了过滤原件的过滤精度，是过滤原件的主要性能指标。</w:t>
      </w:r>
      <w:r w:rsidR="000360B3">
        <w:rPr>
          <w:rFonts w:hint="eastAsia"/>
          <w:sz w:val="24"/>
        </w:rPr>
        <w:t>通过对</w:t>
      </w:r>
      <w:r w:rsidR="000360B3" w:rsidRPr="00121622">
        <w:rPr>
          <w:rFonts w:hint="eastAsia"/>
          <w:sz w:val="24"/>
        </w:rPr>
        <w:t>阻挡的颗粒尺寸值</w:t>
      </w:r>
      <w:r w:rsidR="000360B3">
        <w:rPr>
          <w:rFonts w:hint="eastAsia"/>
          <w:sz w:val="24"/>
        </w:rPr>
        <w:t>进行检测来判断</w:t>
      </w:r>
      <w:r w:rsidR="00337D6F">
        <w:rPr>
          <w:rFonts w:hint="eastAsia"/>
          <w:sz w:val="24"/>
        </w:rPr>
        <w:t>过滤元件</w:t>
      </w:r>
      <w:r w:rsidR="000360B3">
        <w:rPr>
          <w:rFonts w:hint="eastAsia"/>
          <w:sz w:val="24"/>
        </w:rPr>
        <w:t>的过滤精度。</w:t>
      </w:r>
    </w:p>
    <w:p w:rsidR="005F5253" w:rsidRPr="00121622" w:rsidRDefault="005F5253" w:rsidP="005F5253">
      <w:pPr>
        <w:pStyle w:val="a1"/>
        <w:numPr>
          <w:ilvl w:val="0"/>
          <w:numId w:val="0"/>
        </w:numPr>
        <w:spacing w:before="156" w:after="156"/>
        <w:rPr>
          <w:rFonts w:hAnsi="宋体"/>
          <w:sz w:val="24"/>
          <w:szCs w:val="24"/>
        </w:rPr>
      </w:pPr>
      <w:r w:rsidRPr="00121622">
        <w:rPr>
          <w:rFonts w:ascii="宋体" w:hAnsi="宋体" w:hint="eastAsia"/>
          <w:sz w:val="24"/>
          <w:szCs w:val="24"/>
        </w:rPr>
        <w:t>6.2</w:t>
      </w:r>
      <w:r w:rsidRPr="00121622">
        <w:rPr>
          <w:rFonts w:ascii="宋体" w:hAnsi="宋体" w:hint="eastAsia"/>
          <w:sz w:val="24"/>
          <w:szCs w:val="24"/>
        </w:rPr>
        <w:t>透气量及渗透性系数</w:t>
      </w:r>
    </w:p>
    <w:p w:rsidR="005F5253" w:rsidRPr="00337D6F" w:rsidRDefault="00337D6F" w:rsidP="001B1E00">
      <w:pPr>
        <w:ind w:firstLineChars="200" w:firstLine="480"/>
        <w:rPr>
          <w:sz w:val="24"/>
        </w:rPr>
      </w:pPr>
      <w:r w:rsidRPr="00337D6F">
        <w:rPr>
          <w:rFonts w:hint="eastAsia"/>
          <w:sz w:val="24"/>
        </w:rPr>
        <w:t>透气量及渗透系数表征了</w:t>
      </w:r>
      <w:r>
        <w:rPr>
          <w:rFonts w:hint="eastAsia"/>
          <w:sz w:val="24"/>
        </w:rPr>
        <w:t>在特定温度下</w:t>
      </w:r>
      <w:r w:rsidRPr="00337D6F">
        <w:rPr>
          <w:rFonts w:hint="eastAsia"/>
          <w:sz w:val="24"/>
        </w:rPr>
        <w:t>过滤原件</w:t>
      </w:r>
      <w:r>
        <w:rPr>
          <w:rFonts w:hint="eastAsia"/>
          <w:sz w:val="24"/>
        </w:rPr>
        <w:t>单位面积单位时间的</w:t>
      </w:r>
      <w:r w:rsidR="0069344F">
        <w:rPr>
          <w:rFonts w:hint="eastAsia"/>
          <w:sz w:val="24"/>
        </w:rPr>
        <w:t>气体处理量。</w:t>
      </w:r>
    </w:p>
    <w:p w:rsidR="005F5253" w:rsidRPr="00121622" w:rsidRDefault="00F84060" w:rsidP="00F84060">
      <w:pPr>
        <w:pStyle w:val="a1"/>
        <w:numPr>
          <w:ilvl w:val="0"/>
          <w:numId w:val="0"/>
        </w:numPr>
        <w:spacing w:before="156" w:after="156"/>
        <w:rPr>
          <w:rFonts w:hAnsi="宋体"/>
          <w:sz w:val="24"/>
          <w:szCs w:val="24"/>
        </w:rPr>
      </w:pPr>
      <w:r w:rsidRPr="00121622">
        <w:rPr>
          <w:rFonts w:hint="eastAsia"/>
          <w:sz w:val="24"/>
          <w:szCs w:val="24"/>
        </w:rPr>
        <w:t>6.3</w:t>
      </w:r>
      <w:r w:rsidR="005F5253" w:rsidRPr="00121622">
        <w:rPr>
          <w:rFonts w:hint="eastAsia"/>
          <w:sz w:val="24"/>
          <w:szCs w:val="24"/>
        </w:rPr>
        <w:t>抗拉强度</w:t>
      </w:r>
    </w:p>
    <w:p w:rsidR="005F5253" w:rsidRPr="001B1E00" w:rsidRDefault="001B1E00" w:rsidP="000360B3">
      <w:pPr>
        <w:pStyle w:val="a"/>
        <w:numPr>
          <w:ilvl w:val="0"/>
          <w:numId w:val="0"/>
        </w:numPr>
        <w:spacing w:before="312" w:after="312"/>
        <w:ind w:firstLineChars="202" w:firstLine="48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抗拉强度表征了过滤原件的力学性能，该指标直接决定</w:t>
      </w:r>
      <w:r w:rsidR="007631A1">
        <w:rPr>
          <w:rFonts w:asciiTheme="majorEastAsia" w:eastAsiaTheme="majorEastAsia" w:hAnsiTheme="majorEastAsia" w:hint="eastAsia"/>
          <w:sz w:val="24"/>
          <w:szCs w:val="24"/>
        </w:rPr>
        <w:t>过滤原件能否具备使用功能的性能指标。</w:t>
      </w:r>
    </w:p>
    <w:p w:rsidR="005D1B53" w:rsidRPr="00121622" w:rsidRDefault="005D1B53" w:rsidP="00160616">
      <w:pPr>
        <w:spacing w:beforeLines="50" w:afterLines="50" w:line="360" w:lineRule="auto"/>
        <w:rPr>
          <w:rFonts w:asciiTheme="majorEastAsia" w:eastAsiaTheme="majorEastAsia" w:hAnsiTheme="majorEastAsia"/>
          <w:b/>
          <w:sz w:val="24"/>
        </w:rPr>
      </w:pPr>
      <w:r w:rsidRPr="00121622">
        <w:rPr>
          <w:rFonts w:asciiTheme="majorEastAsia" w:eastAsiaTheme="majorEastAsia" w:hAnsiTheme="majorEastAsia" w:hint="eastAsia"/>
          <w:b/>
          <w:sz w:val="24"/>
        </w:rPr>
        <w:t>7</w:t>
      </w:r>
      <w:r w:rsidR="008F500E" w:rsidRPr="00121622">
        <w:rPr>
          <w:rFonts w:asciiTheme="majorEastAsia" w:eastAsiaTheme="majorEastAsia" w:hAnsiTheme="majorEastAsia" w:hint="eastAsia"/>
          <w:b/>
          <w:sz w:val="24"/>
        </w:rPr>
        <w:t>关于引用实验方法与标准</w:t>
      </w:r>
    </w:p>
    <w:p w:rsidR="008F500E" w:rsidRPr="00121622" w:rsidRDefault="00E232B7" w:rsidP="00160616">
      <w:pPr>
        <w:spacing w:beforeLines="50" w:afterLines="50" w:line="360" w:lineRule="auto"/>
        <w:ind w:firstLineChars="200" w:firstLine="496"/>
        <w:rPr>
          <w:rFonts w:asciiTheme="majorEastAsia" w:eastAsiaTheme="majorEastAsia" w:hAnsiTheme="majorEastAsia"/>
          <w:sz w:val="24"/>
        </w:rPr>
      </w:pPr>
      <w:r w:rsidRPr="00121622">
        <w:rPr>
          <w:rFonts w:hint="eastAsia"/>
          <w:color w:val="000000"/>
          <w:spacing w:val="4"/>
          <w:sz w:val="24"/>
          <w:shd w:val="clear" w:color="auto" w:fill="FFFFFF"/>
        </w:rPr>
        <w:t>本标准中涉及的指标的检验方法，均有相应国家标准，直接引用。</w:t>
      </w:r>
    </w:p>
    <w:p w:rsidR="008F500E" w:rsidRPr="00121622" w:rsidRDefault="008F500E" w:rsidP="00160616">
      <w:pPr>
        <w:spacing w:beforeLines="50" w:afterLines="50" w:line="360" w:lineRule="auto"/>
        <w:rPr>
          <w:rFonts w:asciiTheme="majorEastAsia" w:eastAsiaTheme="majorEastAsia" w:hAnsiTheme="majorEastAsia"/>
          <w:b/>
          <w:sz w:val="24"/>
        </w:rPr>
      </w:pPr>
      <w:r w:rsidRPr="00121622">
        <w:rPr>
          <w:rFonts w:asciiTheme="majorEastAsia" w:eastAsiaTheme="majorEastAsia" w:hAnsiTheme="majorEastAsia" w:hint="eastAsia"/>
          <w:b/>
          <w:sz w:val="24"/>
        </w:rPr>
        <w:t xml:space="preserve">8 </w:t>
      </w:r>
      <w:r w:rsidR="00495763" w:rsidRPr="00121622">
        <w:rPr>
          <w:rFonts w:asciiTheme="majorEastAsia" w:eastAsiaTheme="majorEastAsia" w:hAnsiTheme="majorEastAsia" w:hint="eastAsia"/>
          <w:b/>
          <w:sz w:val="24"/>
        </w:rPr>
        <w:t>标准水平</w:t>
      </w:r>
    </w:p>
    <w:p w:rsidR="008F500E" w:rsidRPr="00121622" w:rsidRDefault="00900F77" w:rsidP="00160616">
      <w:pPr>
        <w:pStyle w:val="reader-word-layer"/>
        <w:shd w:val="clear" w:color="auto" w:fill="FFFFFF"/>
        <w:spacing w:beforeLines="50" w:beforeAutospacing="0" w:afterLines="50" w:afterAutospacing="0" w:line="360" w:lineRule="auto"/>
        <w:ind w:firstLineChars="200" w:firstLine="496"/>
        <w:rPr>
          <w:b/>
          <w:bCs/>
          <w:color w:val="000000"/>
          <w:spacing w:val="16"/>
        </w:rPr>
      </w:pPr>
      <w:r w:rsidRPr="00900F77">
        <w:rPr>
          <w:rFonts w:hint="eastAsia"/>
          <w:color w:val="000000"/>
          <w:spacing w:val="4"/>
        </w:rPr>
        <w:t>为保证</w:t>
      </w:r>
      <w:r w:rsidR="00133DB4">
        <w:rPr>
          <w:rFonts w:hint="eastAsia"/>
          <w:color w:val="000000"/>
          <w:spacing w:val="4"/>
        </w:rPr>
        <w:t>客户的合法权益及装备成本控制</w:t>
      </w:r>
      <w:r w:rsidRPr="00900F77">
        <w:rPr>
          <w:rFonts w:hint="eastAsia"/>
          <w:color w:val="000000"/>
          <w:spacing w:val="4"/>
        </w:rPr>
        <w:t>，同时兼顾行业的可持续发展及产品的推陈出新，我们对该标准采用了部分强制，</w:t>
      </w:r>
      <w:r w:rsidR="00133DB4">
        <w:rPr>
          <w:rFonts w:hint="eastAsia"/>
          <w:color w:val="000000"/>
          <w:spacing w:val="4"/>
        </w:rPr>
        <w:t>如：规格型号、直线度等指标。</w:t>
      </w:r>
      <w:r w:rsidR="008F500E" w:rsidRPr="00121622">
        <w:rPr>
          <w:rFonts w:hint="eastAsia"/>
          <w:b/>
          <w:bCs/>
          <w:color w:val="000000"/>
          <w:spacing w:val="16"/>
        </w:rPr>
        <w:br/>
        <w:t>9与有关的现行法律、法规和强制性标准的关系</w:t>
      </w:r>
    </w:p>
    <w:p w:rsidR="008F500E" w:rsidRPr="00121622" w:rsidRDefault="008F500E" w:rsidP="00160616">
      <w:pPr>
        <w:spacing w:beforeLines="50" w:afterLines="50" w:line="360" w:lineRule="auto"/>
        <w:ind w:firstLineChars="200" w:firstLine="496"/>
        <w:rPr>
          <w:color w:val="000000"/>
          <w:spacing w:val="4"/>
          <w:sz w:val="24"/>
        </w:rPr>
      </w:pPr>
      <w:r w:rsidRPr="00121622">
        <w:rPr>
          <w:rFonts w:hint="eastAsia"/>
          <w:color w:val="000000"/>
          <w:spacing w:val="4"/>
          <w:sz w:val="24"/>
        </w:rPr>
        <w:t>本标准与现行法律、法规和强制性标准没有冲突。</w:t>
      </w:r>
    </w:p>
    <w:p w:rsidR="008F500E" w:rsidRPr="00121622" w:rsidRDefault="008F500E" w:rsidP="00160616">
      <w:pPr>
        <w:pStyle w:val="reader-word-layer"/>
        <w:shd w:val="clear" w:color="auto" w:fill="FFFFFF"/>
        <w:spacing w:beforeLines="50" w:beforeAutospacing="0" w:afterLines="50" w:afterAutospacing="0" w:line="360" w:lineRule="auto"/>
        <w:rPr>
          <w:b/>
          <w:bCs/>
          <w:color w:val="000000"/>
          <w:spacing w:val="11"/>
        </w:rPr>
      </w:pPr>
      <w:r w:rsidRPr="00121622">
        <w:rPr>
          <w:rFonts w:hint="eastAsia"/>
          <w:b/>
          <w:bCs/>
          <w:color w:val="000000"/>
        </w:rPr>
        <w:t>10</w:t>
      </w:r>
      <w:r w:rsidRPr="00121622">
        <w:rPr>
          <w:rFonts w:hint="eastAsia"/>
          <w:b/>
          <w:bCs/>
          <w:color w:val="000000"/>
          <w:spacing w:val="11"/>
        </w:rPr>
        <w:t>、标准在编写过程中意见分歧情况</w:t>
      </w:r>
    </w:p>
    <w:p w:rsidR="008F500E" w:rsidRPr="00121622" w:rsidRDefault="008F500E" w:rsidP="00160616">
      <w:pPr>
        <w:pStyle w:val="reader-word-layer"/>
        <w:shd w:val="clear" w:color="auto" w:fill="FFFFFF"/>
        <w:spacing w:beforeLines="50" w:beforeAutospacing="0" w:afterLines="50" w:afterAutospacing="0" w:line="360" w:lineRule="auto"/>
        <w:ind w:firstLineChars="200" w:firstLine="496"/>
        <w:rPr>
          <w:color w:val="000000"/>
          <w:spacing w:val="4"/>
        </w:rPr>
      </w:pPr>
      <w:r w:rsidRPr="00121622">
        <w:rPr>
          <w:rFonts w:hint="eastAsia"/>
          <w:color w:val="000000"/>
          <w:spacing w:val="4"/>
        </w:rPr>
        <w:t>本标准在编写过程中没有重大意见分歧。</w:t>
      </w:r>
    </w:p>
    <w:p w:rsidR="008F500E" w:rsidRPr="00121622" w:rsidRDefault="008F500E" w:rsidP="00160616">
      <w:pPr>
        <w:pStyle w:val="reader-word-layer"/>
        <w:shd w:val="clear" w:color="auto" w:fill="FFFFFF"/>
        <w:spacing w:beforeLines="50" w:beforeAutospacing="0" w:afterLines="50" w:afterAutospacing="0" w:line="360" w:lineRule="auto"/>
        <w:rPr>
          <w:b/>
          <w:bCs/>
          <w:color w:val="000000"/>
          <w:spacing w:val="17"/>
        </w:rPr>
      </w:pPr>
      <w:r w:rsidRPr="00121622">
        <w:rPr>
          <w:rFonts w:hint="eastAsia"/>
          <w:b/>
          <w:bCs/>
          <w:color w:val="000000"/>
        </w:rPr>
        <w:t>11</w:t>
      </w:r>
      <w:r w:rsidRPr="00121622">
        <w:rPr>
          <w:rFonts w:hint="eastAsia"/>
          <w:b/>
          <w:bCs/>
          <w:color w:val="000000"/>
          <w:spacing w:val="17"/>
        </w:rPr>
        <w:t>、经济效益及社会效益</w:t>
      </w:r>
    </w:p>
    <w:p w:rsidR="00133DB4" w:rsidRPr="00133DB4" w:rsidRDefault="008F500E" w:rsidP="00160616">
      <w:pPr>
        <w:pStyle w:val="reader-word-layer"/>
        <w:shd w:val="clear" w:color="auto" w:fill="FFFFFF"/>
        <w:spacing w:beforeLines="50" w:beforeAutospacing="0" w:afterLines="50" w:afterAutospacing="0" w:line="360" w:lineRule="auto"/>
        <w:rPr>
          <w:rFonts w:ascii="simsun" w:eastAsia="微软雅黑" w:hAnsi="simsun" w:hint="eastAsia"/>
          <w:color w:val="000000"/>
        </w:rPr>
      </w:pPr>
      <w:r w:rsidRPr="00133DB4">
        <w:rPr>
          <w:rFonts w:ascii="simsun" w:hAnsi="simsun"/>
          <w:b/>
          <w:bCs/>
          <w:color w:val="000000"/>
        </w:rPr>
        <w:t> </w:t>
      </w:r>
      <w:r w:rsidR="00720F4B">
        <w:rPr>
          <w:rFonts w:ascii="simsun" w:hAnsi="simsun" w:hint="eastAsia"/>
          <w:b/>
          <w:bCs/>
          <w:color w:val="000000"/>
        </w:rPr>
        <w:t xml:space="preserve">    </w:t>
      </w:r>
      <w:r w:rsidR="00133DB4" w:rsidRPr="00133DB4">
        <w:rPr>
          <w:rFonts w:hint="eastAsia"/>
          <w:color w:val="000000"/>
          <w:spacing w:val="4"/>
        </w:rPr>
        <w:t>本标准的制定，使</w:t>
      </w:r>
      <w:r w:rsidR="00152577">
        <w:rPr>
          <w:rFonts w:hint="eastAsia"/>
          <w:color w:val="000000"/>
          <w:spacing w:val="4"/>
        </w:rPr>
        <w:t>过滤元件</w:t>
      </w:r>
      <w:r w:rsidR="00133DB4" w:rsidRPr="00133DB4">
        <w:rPr>
          <w:rFonts w:hint="eastAsia"/>
          <w:color w:val="000000"/>
          <w:spacing w:val="4"/>
        </w:rPr>
        <w:t>产品质量控制和质量监督有标准可依，有利于企业与管理部门在产品质量管理方面的协调统一。</w:t>
      </w:r>
      <w:r w:rsidR="00133DB4" w:rsidRPr="00133DB4">
        <w:rPr>
          <w:rFonts w:ascii="simsun" w:eastAsia="微软雅黑" w:hAnsi="simsun"/>
          <w:color w:val="000000"/>
        </w:rPr>
        <w:t> </w:t>
      </w:r>
    </w:p>
    <w:p w:rsidR="00133DB4" w:rsidRPr="00133DB4" w:rsidRDefault="00133DB4" w:rsidP="00160616">
      <w:pPr>
        <w:pStyle w:val="reader-word-layer"/>
        <w:shd w:val="clear" w:color="auto" w:fill="FFFFFF"/>
        <w:spacing w:beforeLines="50" w:beforeAutospacing="0" w:afterLines="50" w:afterAutospacing="0" w:line="360" w:lineRule="auto"/>
        <w:ind w:firstLineChars="200" w:firstLine="492"/>
        <w:rPr>
          <w:color w:val="000000"/>
          <w:spacing w:val="4"/>
        </w:rPr>
      </w:pPr>
      <w:r w:rsidRPr="00133DB4">
        <w:rPr>
          <w:rFonts w:hint="eastAsia"/>
          <w:color w:val="000000"/>
          <w:spacing w:val="3"/>
        </w:rPr>
        <w:t>本标准的实施，规范了</w:t>
      </w:r>
      <w:r w:rsidR="00060F3D">
        <w:rPr>
          <w:rFonts w:hint="eastAsia"/>
          <w:color w:val="000000"/>
          <w:spacing w:val="3"/>
        </w:rPr>
        <w:t>过滤元件的规格及性能指标及检验方法，使</w:t>
      </w:r>
      <w:r w:rsidRPr="00133DB4">
        <w:rPr>
          <w:rFonts w:hint="eastAsia"/>
          <w:color w:val="000000"/>
          <w:spacing w:val="3"/>
        </w:rPr>
        <w:t>生产企业实现标准化，</w:t>
      </w:r>
      <w:r w:rsidRPr="00133DB4">
        <w:rPr>
          <w:rFonts w:ascii="simsun" w:eastAsia="微软雅黑" w:hAnsi="simsun"/>
          <w:color w:val="000000"/>
        </w:rPr>
        <w:t> </w:t>
      </w:r>
      <w:r w:rsidRPr="00133DB4">
        <w:rPr>
          <w:rFonts w:hint="eastAsia"/>
          <w:color w:val="000000"/>
          <w:spacing w:val="4"/>
        </w:rPr>
        <w:t>规模化生产提供了有力的技术支撑。</w:t>
      </w:r>
    </w:p>
    <w:p w:rsidR="008F500E" w:rsidRPr="00133DB4" w:rsidRDefault="008F500E" w:rsidP="00160616">
      <w:pPr>
        <w:pStyle w:val="reader-word-layer"/>
        <w:shd w:val="clear" w:color="auto" w:fill="FFFFFF"/>
        <w:spacing w:beforeLines="50" w:beforeAutospacing="0" w:afterLines="50" w:afterAutospacing="0" w:line="360" w:lineRule="auto"/>
        <w:rPr>
          <w:rFonts w:ascii="simsun" w:hAnsi="simsun" w:hint="eastAsia"/>
          <w:b/>
          <w:bCs/>
          <w:color w:val="000000"/>
        </w:rPr>
      </w:pPr>
    </w:p>
    <w:p w:rsidR="008F500E" w:rsidRPr="00121622" w:rsidRDefault="008F500E" w:rsidP="005A61D8">
      <w:pPr>
        <w:spacing w:beforeLines="50" w:afterLines="50" w:line="360" w:lineRule="auto"/>
        <w:rPr>
          <w:rFonts w:asciiTheme="majorEastAsia" w:eastAsiaTheme="majorEastAsia" w:hAnsiTheme="majorEastAsia"/>
          <w:sz w:val="24"/>
        </w:rPr>
      </w:pPr>
    </w:p>
    <w:sectPr w:rsidR="008F500E" w:rsidRPr="00121622" w:rsidSect="001D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02E" w:rsidRDefault="0083702E" w:rsidP="00057F05">
      <w:r>
        <w:separator/>
      </w:r>
    </w:p>
  </w:endnote>
  <w:endnote w:type="continuationSeparator" w:id="0">
    <w:p w:rsidR="0083702E" w:rsidRDefault="0083702E" w:rsidP="00057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02E" w:rsidRDefault="0083702E" w:rsidP="00057F05">
      <w:r>
        <w:separator/>
      </w:r>
    </w:p>
  </w:footnote>
  <w:footnote w:type="continuationSeparator" w:id="0">
    <w:p w:rsidR="0083702E" w:rsidRDefault="0083702E" w:rsidP="00057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7EEE5424"/>
    <w:multiLevelType w:val="hybridMultilevel"/>
    <w:tmpl w:val="B9B023FA"/>
    <w:lvl w:ilvl="0" w:tplc="82C42898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F05"/>
    <w:rsid w:val="0002461B"/>
    <w:rsid w:val="000263B8"/>
    <w:rsid w:val="000360B3"/>
    <w:rsid w:val="00057F05"/>
    <w:rsid w:val="00060F3D"/>
    <w:rsid w:val="00121622"/>
    <w:rsid w:val="00133DB4"/>
    <w:rsid w:val="00152577"/>
    <w:rsid w:val="00160616"/>
    <w:rsid w:val="001A7B8C"/>
    <w:rsid w:val="001B1E00"/>
    <w:rsid w:val="001D340A"/>
    <w:rsid w:val="00217C91"/>
    <w:rsid w:val="00272E33"/>
    <w:rsid w:val="002B49B8"/>
    <w:rsid w:val="00337D6F"/>
    <w:rsid w:val="003638D8"/>
    <w:rsid w:val="003E6010"/>
    <w:rsid w:val="00495763"/>
    <w:rsid w:val="004D63C4"/>
    <w:rsid w:val="00531366"/>
    <w:rsid w:val="0059597E"/>
    <w:rsid w:val="005A61D8"/>
    <w:rsid w:val="005D1B53"/>
    <w:rsid w:val="005F5253"/>
    <w:rsid w:val="0069344F"/>
    <w:rsid w:val="006A0D2D"/>
    <w:rsid w:val="00720F4B"/>
    <w:rsid w:val="00732A47"/>
    <w:rsid w:val="007631A1"/>
    <w:rsid w:val="00771F72"/>
    <w:rsid w:val="00785EE2"/>
    <w:rsid w:val="0083702E"/>
    <w:rsid w:val="00861CC7"/>
    <w:rsid w:val="008F500E"/>
    <w:rsid w:val="00900F77"/>
    <w:rsid w:val="009F4DBD"/>
    <w:rsid w:val="00AC2BF3"/>
    <w:rsid w:val="00AE2501"/>
    <w:rsid w:val="00B238DC"/>
    <w:rsid w:val="00C977BB"/>
    <w:rsid w:val="00CA33ED"/>
    <w:rsid w:val="00E232B7"/>
    <w:rsid w:val="00E92009"/>
    <w:rsid w:val="00F84060"/>
    <w:rsid w:val="00FE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057F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Char"/>
    <w:uiPriority w:val="99"/>
    <w:semiHidden/>
    <w:unhideWhenUsed/>
    <w:rsid w:val="00057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5"/>
    <w:link w:val="a8"/>
    <w:uiPriority w:val="99"/>
    <w:semiHidden/>
    <w:rsid w:val="00057F05"/>
    <w:rPr>
      <w:sz w:val="18"/>
      <w:szCs w:val="18"/>
    </w:rPr>
  </w:style>
  <w:style w:type="paragraph" w:styleId="a9">
    <w:name w:val="footer"/>
    <w:basedOn w:val="a4"/>
    <w:link w:val="Char0"/>
    <w:uiPriority w:val="99"/>
    <w:semiHidden/>
    <w:unhideWhenUsed/>
    <w:rsid w:val="00057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5"/>
    <w:link w:val="a9"/>
    <w:uiPriority w:val="99"/>
    <w:semiHidden/>
    <w:rsid w:val="00057F05"/>
    <w:rPr>
      <w:sz w:val="18"/>
      <w:szCs w:val="18"/>
    </w:rPr>
  </w:style>
  <w:style w:type="paragraph" w:customStyle="1" w:styleId="reader-word-layer">
    <w:name w:val="reader-word-layer"/>
    <w:basedOn w:val="a4"/>
    <w:rsid w:val="00732A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6"/>
    <w:uiPriority w:val="59"/>
    <w:rsid w:val="00AE2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一级条标题"/>
    <w:next w:val="a4"/>
    <w:rsid w:val="005F5253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4"/>
    <w:rsid w:val="005F5253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4"/>
    <w:rsid w:val="005F5253"/>
    <w:pPr>
      <w:numPr>
        <w:ilvl w:val="2"/>
      </w:numPr>
      <w:spacing w:before="50" w:after="50"/>
      <w:outlineLvl w:val="3"/>
    </w:pPr>
  </w:style>
  <w:style w:type="paragraph" w:customStyle="1" w:styleId="a2">
    <w:name w:val="四级条标题"/>
    <w:basedOn w:val="a4"/>
    <w:next w:val="a4"/>
    <w:rsid w:val="005F5253"/>
    <w:pPr>
      <w:widowControl/>
      <w:numPr>
        <w:ilvl w:val="4"/>
        <w:numId w:val="1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a3">
    <w:name w:val="五级条标题"/>
    <w:basedOn w:val="a2"/>
    <w:next w:val="a4"/>
    <w:rsid w:val="005F5253"/>
    <w:pPr>
      <w:numPr>
        <w:ilvl w:val="5"/>
      </w:numPr>
      <w:outlineLvl w:val="6"/>
    </w:pPr>
  </w:style>
  <w:style w:type="paragraph" w:styleId="ab">
    <w:name w:val="List Paragraph"/>
    <w:basedOn w:val="a4"/>
    <w:uiPriority w:val="34"/>
    <w:qFormat/>
    <w:rsid w:val="005F52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337">
          <w:marLeft w:val="0"/>
          <w:marRight w:val="0"/>
          <w:marTop w:val="0"/>
          <w:marBottom w:val="6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2905474">
              <w:marLeft w:val="55"/>
              <w:marRight w:val="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9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4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64834">
          <w:marLeft w:val="0"/>
          <w:marRight w:val="0"/>
          <w:marTop w:val="0"/>
          <w:marBottom w:val="6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21854436">
              <w:marLeft w:val="55"/>
              <w:marRight w:val="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1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4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8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14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268</Words>
  <Characters>1530</Characters>
  <Application>Microsoft Office Word</Application>
  <DocSecurity>0</DocSecurity>
  <Lines>12</Lines>
  <Paragraphs>3</Paragraphs>
  <ScaleCrop>false</ScaleCrop>
  <Company>china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2015-03-01T01:44:00Z</dcterms:created>
  <dcterms:modified xsi:type="dcterms:W3CDTF">2015-03-02T02:59:00Z</dcterms:modified>
</cp:coreProperties>
</file>